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47F4" w14:textId="77777777" w:rsidR="00746F6C" w:rsidRDefault="007154DF">
      <w:pPr>
        <w:spacing w:after="1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 w:rsidRPr="4923F6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14:paraId="0AB40D66" w14:textId="2A93658E" w:rsidR="00746F6C" w:rsidRDefault="10469D43" w:rsidP="4923F683">
      <w:pPr>
        <w:ind w:right="85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E3F98F8" wp14:editId="33B4BB8D">
            <wp:extent cx="1819529" cy="1810003"/>
            <wp:effectExtent l="0" t="0" r="0" b="0"/>
            <wp:docPr id="1861215607" name="Picture 1861215607" descr="A logo on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A68C" w14:textId="77777777" w:rsidR="00746F6C" w:rsidRDefault="007154DF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16"/>
          <w:szCs w:val="16"/>
        </w:rPr>
        <w:t> </w:t>
      </w:r>
    </w:p>
    <w:p w14:paraId="216C0DF2" w14:textId="39C3CA8D" w:rsidR="00746F6C" w:rsidRDefault="1F2B70BA" w:rsidP="7E77E945">
      <w:pPr>
        <w:spacing w:before="960"/>
        <w:ind w:right="8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7E77E94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Gantovi</w:t>
      </w:r>
      <w:proofErr w:type="spellEnd"/>
      <w:r w:rsidRPr="7E77E94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Apostoli</w:t>
      </w:r>
    </w:p>
    <w:p w14:paraId="495FC286" w14:textId="77777777" w:rsidR="00746F6C" w:rsidRDefault="00746F6C">
      <w:pPr>
        <w:spacing w:after="120"/>
        <w:ind w:right="8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14:paraId="79B65EB3" w14:textId="77777777" w:rsidR="00746F6C" w:rsidRDefault="007154DF">
      <w:pPr>
        <w:spacing w:after="120"/>
        <w:ind w:right="85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44"/>
          <w:szCs w:val="44"/>
        </w:rPr>
        <w:t>Povelja projekta</w:t>
      </w:r>
    </w:p>
    <w:p w14:paraId="645BF8EE" w14:textId="7D8427FD" w:rsidR="00746F6C" w:rsidRDefault="417ABC55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bookmarkStart w:id="0" w:name="techSectionBreak1"/>
      <w:r w:rsidRPr="303CE17D">
        <w:rPr>
          <w:rFonts w:eastAsia="Times New Roman" w:cs="Times New Roman"/>
          <w:b/>
          <w:bCs/>
          <w:color w:val="984806"/>
          <w:sz w:val="40"/>
          <w:szCs w:val="40"/>
        </w:rPr>
        <w:t>&lt;</w:t>
      </w:r>
      <w:proofErr w:type="spellStart"/>
      <w:r w:rsidR="06F2324E" w:rsidRPr="303CE17D">
        <w:rPr>
          <w:rFonts w:eastAsia="Times New Roman" w:cs="Times New Roman"/>
          <w:b/>
          <w:bCs/>
          <w:color w:val="984806"/>
          <w:sz w:val="40"/>
          <w:szCs w:val="40"/>
        </w:rPr>
        <w:t>The</w:t>
      </w:r>
      <w:proofErr w:type="spellEnd"/>
      <w:r w:rsidR="06F2324E" w:rsidRPr="303CE17D">
        <w:rPr>
          <w:rFonts w:eastAsia="Times New Roman" w:cs="Times New Roman"/>
          <w:b/>
          <w:bCs/>
          <w:color w:val="984806"/>
          <w:sz w:val="40"/>
          <w:szCs w:val="40"/>
        </w:rPr>
        <w:t xml:space="preserve"> </w:t>
      </w:r>
      <w:proofErr w:type="spellStart"/>
      <w:r w:rsidR="06F2324E" w:rsidRPr="303CE17D">
        <w:rPr>
          <w:rFonts w:eastAsia="Times New Roman" w:cs="Times New Roman"/>
          <w:b/>
          <w:bCs/>
          <w:color w:val="984806"/>
          <w:sz w:val="40"/>
          <w:szCs w:val="40"/>
        </w:rPr>
        <w:t>inline</w:t>
      </w:r>
      <w:proofErr w:type="spellEnd"/>
      <w:r w:rsidR="06F2324E" w:rsidRPr="303CE17D">
        <w:rPr>
          <w:rFonts w:eastAsia="Times New Roman" w:cs="Times New Roman"/>
          <w:b/>
          <w:bCs/>
          <w:color w:val="984806"/>
          <w:sz w:val="40"/>
          <w:szCs w:val="40"/>
        </w:rPr>
        <w:t xml:space="preserve"> </w:t>
      </w:r>
      <w:proofErr w:type="spellStart"/>
      <w:r w:rsidR="06F2324E" w:rsidRPr="303CE17D">
        <w:rPr>
          <w:rFonts w:eastAsia="Times New Roman" w:cs="Times New Roman"/>
          <w:b/>
          <w:bCs/>
          <w:color w:val="984806"/>
          <w:sz w:val="40"/>
          <w:szCs w:val="40"/>
        </w:rPr>
        <w:t>center</w:t>
      </w:r>
      <w:proofErr w:type="spellEnd"/>
      <w:r w:rsidRPr="303CE17D">
        <w:rPr>
          <w:rFonts w:eastAsia="Times New Roman" w:cs="Times New Roman"/>
          <w:b/>
          <w:bCs/>
          <w:color w:val="984806"/>
          <w:sz w:val="40"/>
          <w:szCs w:val="40"/>
        </w:rPr>
        <w:t>&gt;</w:t>
      </w:r>
      <w:r w:rsidRPr="303CE17D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303CE17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bookmarkEnd w:id="0"/>
    </w:p>
    <w:p w14:paraId="37699EB3" w14:textId="77777777" w:rsidR="00746F6C" w:rsidRDefault="007154DF">
      <w:pPr>
        <w:spacing w:before="1560"/>
        <w:ind w:left="3600" w:firstLine="653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eastAsia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4" behindDoc="0" locked="0" layoutInCell="0" allowOverlap="1" wp14:anchorId="53E8ECFD" wp14:editId="29D89029">
            <wp:simplePos x="0" y="0"/>
            <wp:positionH relativeFrom="margin">
              <wp:posOffset>2262505</wp:posOffset>
            </wp:positionH>
            <wp:positionV relativeFrom="margin">
              <wp:posOffset>4051935</wp:posOffset>
            </wp:positionV>
            <wp:extent cx="975360" cy="696595"/>
            <wp:effectExtent l="0" t="0" r="0" b="0"/>
            <wp:wrapSquare wrapText="bothSides"/>
            <wp:docPr id="2" name="Picture 12" descr="U:\METHODS\CoEPM²\PM² Communications\15.Logos &amp; Fonts\Logos\Open PM²\OPM²-sticker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U:\METHODS\CoEPM²\PM² Communications\15.Logos &amp; Fonts\Logos\Open PM²\OPM²-stickers-fina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A0381" w14:textId="77777777" w:rsidR="00746F6C" w:rsidRDefault="007154DF">
      <w:pPr>
        <w:spacing w:before="1560"/>
        <w:ind w:left="5760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Datum: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              </w:t>
      </w:r>
      <w:r>
        <w:rPr>
          <w:rFonts w:eastAsia="Times New Roman" w:cs="Times New Roman"/>
          <w:color w:val="984806"/>
          <w:sz w:val="22"/>
          <w:szCs w:val="22"/>
        </w:rPr>
        <w:t>&lt;Datum&gt;</w:t>
      </w:r>
    </w:p>
    <w:p w14:paraId="37655AD5" w14:textId="77777777" w:rsidR="00746F6C" w:rsidRDefault="007154DF">
      <w:pPr>
        <w:ind w:left="5760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Doc.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Verzija: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984806"/>
          <w:sz w:val="22"/>
          <w:szCs w:val="22"/>
        </w:rPr>
        <w:t>&lt;Verzija&gt;</w:t>
      </w:r>
    </w:p>
    <w:p w14:paraId="465A7798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 </w:t>
      </w:r>
    </w:p>
    <w:p w14:paraId="17AAD05F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2"/>
          <w:szCs w:val="22"/>
        </w:rPr>
        <w:t> </w:t>
      </w:r>
    </w:p>
    <w:p w14:paraId="0F08914D" w14:textId="77777777" w:rsidR="00746F6C" w:rsidRDefault="00746F6C">
      <w:pPr>
        <w:spacing w:after="1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6BAE0B5" w14:textId="77777777" w:rsidR="00746F6C" w:rsidRDefault="007154DF">
      <w:pPr>
        <w:spacing w:after="120"/>
        <w:ind w:left="1440" w:firstLine="7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> </w:t>
      </w:r>
    </w:p>
    <w:p w14:paraId="5A4B6043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 </w:t>
      </w:r>
    </w:p>
    <w:p w14:paraId="18B8C262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 </w:t>
      </w:r>
    </w:p>
    <w:p w14:paraId="0305ED7E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Ovaj predložak temelji se na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PM²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v0.9</w:t>
      </w:r>
    </w:p>
    <w:p w14:paraId="15749D9E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Za najnoviju verziju ovog predloška posjetite</w:t>
      </w:r>
      <w:r>
        <w:rPr>
          <w:rFonts w:ascii="Times" w:eastAsia="Times New Roman" w:hAnsi="Times" w:cs="Times New Roman"/>
          <w:color w:val="000000"/>
        </w:rPr>
        <w:t> </w:t>
      </w:r>
      <w:hyperlink r:id="rId12">
        <w:r>
          <w:rPr>
            <w:rFonts w:eastAsia="Times New Roman" w:cs="Times New Roman"/>
            <w:i/>
            <w:iCs/>
            <w:color w:val="0000FF"/>
            <w:sz w:val="20"/>
            <w:szCs w:val="20"/>
            <w:u w:val="single"/>
          </w:rPr>
          <w:t>web stranicu</w:t>
        </w:r>
      </w:hyperlink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PM²</w:t>
      </w:r>
    </w:p>
    <w:p w14:paraId="35CF7BA3" w14:textId="77777777" w:rsidR="00746F6C" w:rsidRDefault="007154DF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lastRenderedPageBreak/>
        <w:t>Obratite pažnju na</w:t>
      </w:r>
      <w:r>
        <w:rPr>
          <w:rFonts w:ascii="Times" w:eastAsia="Times New Roman" w:hAnsi="Times" w:cs="Times New Roman"/>
          <w:color w:val="000000"/>
        </w:rPr>
        <w:t> </w:t>
      </w:r>
      <w:proofErr w:type="spellStart"/>
      <w:r>
        <w:rPr>
          <w:rFonts w:eastAsia="Times New Roman" w:cs="Times New Roman"/>
          <w:i/>
          <w:iCs/>
          <w:color w:val="808080"/>
          <w:sz w:val="20"/>
          <w:szCs w:val="20"/>
        </w:rPr>
        <w:t>Disclaimer</w:t>
      </w:r>
      <w:proofErr w:type="spellEnd"/>
      <w:r>
        <w:rPr>
          <w:rFonts w:eastAsia="Times New Roman" w:cs="Times New Roman"/>
          <w:i/>
          <w:iCs/>
          <w:color w:val="808080"/>
          <w:sz w:val="20"/>
          <w:szCs w:val="20"/>
        </w:rPr>
        <w:t xml:space="preserve"> 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autorskim pravima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 PM²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:</w:t>
      </w:r>
      <w:r>
        <w:rPr>
          <w:rFonts w:ascii="Times" w:eastAsia="Times New Roman" w:hAnsi="Times" w:cs="Times New Roman"/>
          <w:color w:val="000000"/>
        </w:rPr>
        <w:t> </w:t>
      </w:r>
      <w:hyperlink r:id="rId13">
        <w:r>
          <w:rPr>
            <w:rFonts w:eastAsia="Times New Roman" w:cs="Times New Roman"/>
            <w:i/>
            <w:iCs/>
            <w:color w:val="0000FF"/>
            <w:sz w:val="20"/>
            <w:szCs w:val="20"/>
            <w:u w:val="single"/>
          </w:rPr>
          <w:t>http://europa.eu/!QD73Mh</w:t>
        </w:r>
        <w:r>
          <w:rPr>
            <w:rFonts w:ascii="Times" w:eastAsia="Times New Roman" w:hAnsi="Times" w:cs="Times New Roman"/>
            <w:color w:val="000000"/>
            <w:sz w:val="27"/>
            <w:szCs w:val="27"/>
          </w:rPr>
          <w:br w:type="textWrapping" w:clear="all"/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3C6E066" w14:textId="77777777" w:rsidR="00746F6C" w:rsidRDefault="007154D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2F9B8E22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Informacije o kontroli dokumenta</w:t>
      </w:r>
    </w:p>
    <w:tbl>
      <w:tblPr>
        <w:tblW w:w="8986" w:type="dxa"/>
        <w:tblLayout w:type="fixed"/>
        <w:tblLook w:val="04A0" w:firstRow="1" w:lastRow="0" w:firstColumn="1" w:lastColumn="0" w:noHBand="0" w:noVBand="1"/>
      </w:tblPr>
      <w:tblGrid>
        <w:gridCol w:w="2827"/>
        <w:gridCol w:w="6159"/>
      </w:tblGrid>
      <w:tr w:rsidR="00746F6C" w14:paraId="3E361A61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7DA88989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postavke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5B14F25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Vrijednost</w:t>
            </w:r>
          </w:p>
        </w:tc>
      </w:tr>
      <w:tr w:rsidR="00746F6C" w14:paraId="0FE4BAB0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C9ED035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Naslov dokumenta: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3A65A58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Povelja projekta</w:t>
            </w:r>
          </w:p>
        </w:tc>
      </w:tr>
      <w:tr w:rsidR="00746F6C" w14:paraId="2682EB9A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4DAA7CF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Naziv projekta: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364A10A" w14:textId="77037910" w:rsidR="00746F6C" w:rsidRDefault="417ABC55" w:rsidP="303CE17D">
            <w:pPr>
              <w:spacing w:line="230" w:lineRule="atLeast"/>
              <w:rPr>
                <w:rFonts w:eastAsia="Times New Roman" w:cs="Times New Roman"/>
                <w:color w:val="984806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&lt;</w:t>
            </w:r>
            <w:proofErr w:type="spellStart"/>
            <w:r w:rsidR="0F338587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The</w:t>
            </w:r>
            <w:proofErr w:type="spellEnd"/>
            <w:r w:rsidR="0F338587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 xml:space="preserve"> </w:t>
            </w:r>
            <w:proofErr w:type="spellStart"/>
            <w:r w:rsidR="0F338587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inline</w:t>
            </w:r>
            <w:proofErr w:type="spellEnd"/>
            <w:r w:rsidR="0F338587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 xml:space="preserve"> </w:t>
            </w:r>
            <w:proofErr w:type="spellStart"/>
            <w:r w:rsidR="0F338587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center</w:t>
            </w:r>
            <w:proofErr w:type="spellEnd"/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&gt;</w:t>
            </w:r>
          </w:p>
        </w:tc>
      </w:tr>
      <w:tr w:rsidR="00746F6C" w14:paraId="62154D24" w14:textId="77777777" w:rsidTr="303CE17D">
        <w:trPr>
          <w:trHeight w:val="253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7954D2A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Autor dokumenta: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5BDEC0C" w14:textId="5995E6BC" w:rsidR="00746F6C" w:rsidRDefault="417ABC55" w:rsidP="303CE17D">
            <w:pPr>
              <w:spacing w:line="230" w:lineRule="atLeast"/>
              <w:rPr>
                <w:rFonts w:eastAsia="Times New Roman" w:cs="Times New Roman"/>
                <w:color w:val="984806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&lt;</w:t>
            </w:r>
            <w:proofErr w:type="spellStart"/>
            <w:r w:rsidR="0A55489E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Gantovi</w:t>
            </w:r>
            <w:proofErr w:type="spellEnd"/>
            <w:r w:rsidR="0A55489E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 xml:space="preserve"> apostoli</w:t>
            </w: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&gt;</w:t>
            </w:r>
          </w:p>
        </w:tc>
      </w:tr>
      <w:tr w:rsidR="00746F6C" w14:paraId="2A94F59F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63D548A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Vlasnik projekta/Sponzor: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9E112A4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&lt;Vlasnik projekta (PO)&gt;</w:t>
            </w:r>
          </w:p>
        </w:tc>
      </w:tr>
      <w:tr w:rsidR="00746F6C" w14:paraId="2E6B23D3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F9F98A6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Voditelj projekta: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8AFE183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&lt;Voditelj projekta (PM)&gt;</w:t>
            </w:r>
          </w:p>
        </w:tc>
      </w:tr>
      <w:tr w:rsidR="00746F6C" w14:paraId="220B1DFD" w14:textId="77777777" w:rsidTr="303CE17D">
        <w:trPr>
          <w:trHeight w:val="285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F4A2932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Doc.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Verzija: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B1B514F" w14:textId="353A582D" w:rsidR="00746F6C" w:rsidRDefault="417ABC55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&lt;</w:t>
            </w:r>
            <w:r w:rsidR="5F9BB84B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Verzija 1</w:t>
            </w: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&gt;</w:t>
            </w:r>
          </w:p>
        </w:tc>
      </w:tr>
      <w:tr w:rsidR="00746F6C" w14:paraId="14008084" w14:textId="77777777" w:rsidTr="303CE17D">
        <w:trPr>
          <w:trHeight w:val="253"/>
        </w:trPr>
        <w:tc>
          <w:tcPr>
            <w:tcW w:w="28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F8A4808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5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6FA1B92" w14:textId="65F5AC8A" w:rsidR="00746F6C" w:rsidRDefault="417ABC55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&lt;</w:t>
            </w:r>
            <w:r w:rsidR="6A35EFB9"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19.3.2025</w:t>
            </w: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&gt;</w:t>
            </w:r>
            <w:r w:rsidRPr="303CE1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03CE17D">
              <w:rPr>
                <w:rFonts w:eastAsia="Times New Roman" w:cs="Times New Roman"/>
                <w:color w:val="984806"/>
                <w:sz w:val="20"/>
                <w:szCs w:val="20"/>
              </w:rPr>
              <w:t> </w:t>
            </w:r>
          </w:p>
        </w:tc>
      </w:tr>
    </w:tbl>
    <w:p w14:paraId="724EFE93" w14:textId="77777777" w:rsidR="00746F6C" w:rsidRDefault="007154DF">
      <w:pPr>
        <w:spacing w:line="253" w:lineRule="atLeast"/>
        <w:rPr>
          <w:rFonts w:ascii="Times" w:eastAsia="Times New Roman" w:hAnsi="Times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 </w:t>
      </w:r>
    </w:p>
    <w:p w14:paraId="5B893733" w14:textId="77777777" w:rsidR="00746F6C" w:rsidRDefault="007154DF">
      <w:pPr>
        <w:spacing w:line="253" w:lineRule="atLeast"/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 </w:t>
      </w:r>
    </w:p>
    <w:tbl>
      <w:tblPr>
        <w:tblW w:w="9050" w:type="dxa"/>
        <w:tblLayout w:type="fixed"/>
        <w:tblLook w:val="04A0" w:firstRow="1" w:lastRow="0" w:firstColumn="1" w:lastColumn="0" w:noHBand="0" w:noVBand="1"/>
      </w:tblPr>
      <w:tblGrid>
        <w:gridCol w:w="9050"/>
      </w:tblGrid>
      <w:tr w:rsidR="00746F6C" w14:paraId="2441F55B" w14:textId="77777777">
        <w:tc>
          <w:tcPr>
            <w:tcW w:w="9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178BA6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2"/>
                <w:szCs w:val="22"/>
              </w:rPr>
              <w:t>&lt;Ove bilješke treba izbrisati u konačnoj verziji:&gt;</w:t>
            </w:r>
          </w:p>
          <w:p w14:paraId="34553D44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  <w:p w14:paraId="451C2B00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Napomene za predloške:</w:t>
            </w:r>
          </w:p>
          <w:p w14:paraId="64AA7BE9" w14:textId="77777777" w:rsidR="00746F6C" w:rsidRDefault="007154DF">
            <w:pPr>
              <w:numPr>
                <w:ilvl w:val="0"/>
                <w:numId w:val="25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984806"/>
                <w:sz w:val="20"/>
                <w:szCs w:val="20"/>
              </w:rPr>
              <w:t>&lt;narančasto&gt;: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mora biti definiran.</w:t>
            </w:r>
          </w:p>
          <w:p w14:paraId="7B607C79" w14:textId="77777777" w:rsidR="00746F6C" w:rsidRDefault="007154DF">
            <w:pPr>
              <w:numPr>
                <w:ilvl w:val="0"/>
                <w:numId w:val="25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&lt;plavo&gt;: smjernice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upotrebi predloška.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Treba izbrisati u konačnoj verziji.</w:t>
            </w:r>
          </w:p>
          <w:p w14:paraId="3F941E33" w14:textId="77777777" w:rsidR="00746F6C" w:rsidRDefault="007154DF">
            <w:pPr>
              <w:numPr>
                <w:ilvl w:val="0"/>
                <w:numId w:val="25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005828"/>
                <w:sz w:val="20"/>
                <w:szCs w:val="20"/>
              </w:rPr>
              <w:t>&lt;zelenoj boji&gt;: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može se prilagoditi.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Trebao bi biti obojan u crno u finalnoj verziji.</w:t>
            </w:r>
          </w:p>
          <w:p w14:paraId="3057681D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116E6F37" w14:textId="77777777" w:rsidR="00746F6C" w:rsidRDefault="007154DF">
      <w:pPr>
        <w:rPr>
          <w:rFonts w:ascii="Times New Roman" w:eastAsia="Times New Roman" w:hAnsi="Times New Roman" w:cs="Times New Roman"/>
        </w:rPr>
      </w:pPr>
      <w:r>
        <w:br w:type="textWrapping" w:clear="all"/>
      </w:r>
    </w:p>
    <w:p w14:paraId="54AD4B93" w14:textId="77777777" w:rsidR="00746F6C" w:rsidRDefault="007154D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br w:type="page"/>
      </w:r>
    </w:p>
    <w:p w14:paraId="173921E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14:paraId="05D5F95B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SAŽETAK</w:t>
      </w:r>
    </w:p>
    <w:p w14:paraId="7CCBBD25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RAZMATRANJA O POSLOVNOM SLUČAJU</w:t>
      </w:r>
    </w:p>
    <w:p w14:paraId="2F243146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3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OPIS PROJEKTA</w:t>
      </w:r>
    </w:p>
    <w:p w14:paraId="1A83156F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Ciljevi</w:t>
      </w:r>
    </w:p>
    <w:p w14:paraId="31DA165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Opseg</w:t>
      </w:r>
    </w:p>
    <w:p w14:paraId="169811B3" w14:textId="77777777" w:rsidR="00746F6C" w:rsidRDefault="007154DF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Uključuje ("UNUTAR" opseg)</w:t>
      </w:r>
    </w:p>
    <w:p w14:paraId="62EBD0CC" w14:textId="77777777" w:rsidR="00746F6C" w:rsidRDefault="007154DF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3.2.2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Ne uključuje ("IZVAN" opseg)</w:t>
      </w:r>
    </w:p>
    <w:p w14:paraId="0BB61AF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3.3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Uvjeti za uspjeh</w:t>
      </w:r>
    </w:p>
    <w:p w14:paraId="64357568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3.4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Dionici i korisničke potrebe</w:t>
      </w:r>
    </w:p>
    <w:p w14:paraId="71E60466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3.5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Isporuke</w:t>
      </w:r>
    </w:p>
    <w:p w14:paraId="2043B34B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3.6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Ograničenja</w:t>
      </w:r>
    </w:p>
    <w:p w14:paraId="60420FD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3.7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Pretpostavke</w:t>
      </w:r>
    </w:p>
    <w:p w14:paraId="6166DC3C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3.8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Rizici</w:t>
      </w:r>
    </w:p>
    <w:p w14:paraId="421BD2EC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 w:themeColor="text1"/>
          <w:sz w:val="20"/>
          <w:szCs w:val="20"/>
        </w:rPr>
        <w:t>4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 w:themeColor="text1"/>
          <w:sz w:val="20"/>
          <w:szCs w:val="20"/>
        </w:rPr>
        <w:t>TROŠAK, VRIJEME I RESURSI</w:t>
      </w:r>
    </w:p>
    <w:p w14:paraId="40777B81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4.1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Trošak</w:t>
      </w:r>
    </w:p>
    <w:p w14:paraId="42C9E08D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4.2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Vremenski raspored i miljokazi</w:t>
      </w:r>
    </w:p>
    <w:p w14:paraId="55B84F26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4.3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Planirani resursi</w:t>
      </w:r>
    </w:p>
    <w:p w14:paraId="1AC13B0D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5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UPRAVLJANJE I DIONICI</w:t>
      </w:r>
    </w:p>
    <w:p w14:paraId="020317D3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5.1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Struktura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, </w:t>
      </w:r>
      <w:r>
        <w:rPr>
          <w:rFonts w:eastAsia="Times New Roman" w:cs="Times New Roman"/>
          <w:color w:val="000000"/>
          <w:sz w:val="20"/>
          <w:szCs w:val="20"/>
        </w:rPr>
        <w:t>Uloge i odgovornosti</w:t>
      </w:r>
    </w:p>
    <w:p w14:paraId="4BB5B2AC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  <w:bookmarkStart w:id="1" w:name="_Toc347242689"/>
      <w:bookmarkStart w:id="2" w:name="_Toc345512055"/>
      <w:bookmarkStart w:id="3" w:name="_Toc345512026"/>
      <w:bookmarkEnd w:id="1"/>
      <w:bookmarkEnd w:id="2"/>
      <w:bookmarkEnd w:id="3"/>
    </w:p>
    <w:p w14:paraId="14945318" w14:textId="77777777" w:rsidR="00746F6C" w:rsidRDefault="007154DF">
      <w:pPr>
        <w:rPr>
          <w:rFonts w:ascii="Calibri" w:eastAsia="Times New Roman" w:hAnsi="Calibri" w:cs="Times New Roman"/>
          <w:b/>
          <w:bCs/>
          <w:smallCaps/>
          <w:color w:val="000000"/>
          <w:kern w:val="2"/>
          <w:sz w:val="28"/>
          <w:szCs w:val="28"/>
        </w:rPr>
      </w:pPr>
      <w:r>
        <w:br w:type="page"/>
      </w:r>
    </w:p>
    <w:p w14:paraId="19448BB3" w14:textId="77777777" w:rsidR="00746F6C" w:rsidRDefault="417ABC55">
      <w:pPr>
        <w:spacing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1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4" w:name="_Toc478654697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Sažetak</w:t>
      </w:r>
      <w:bookmarkEnd w:id="4"/>
    </w:p>
    <w:p w14:paraId="48FC6EC2" w14:textId="4510DAF9" w:rsidR="00746F6C" w:rsidRDefault="0B4CDEBA" w:rsidP="303CE17D">
      <w:pPr>
        <w:spacing w:before="240" w:after="240" w:line="240" w:lineRule="atLeast"/>
        <w:jc w:val="both"/>
      </w:pPr>
      <w:r w:rsidRPr="303CE17D">
        <w:rPr>
          <w:rFonts w:ascii="Calibri" w:eastAsia="Calibri" w:hAnsi="Calibri" w:cs="Calibri"/>
          <w:sz w:val="20"/>
          <w:szCs w:val="20"/>
        </w:rPr>
        <w:t>Projekt „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Gantovi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Apostoli“ usmjeren je na izgradnju moderne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 dvorane koja će služiti profesionalcima, rekreativcima i sportskim entuzijastima.</w:t>
      </w:r>
    </w:p>
    <w:p w14:paraId="2581C925" w14:textId="4E42A9D8" w:rsidR="00746F6C" w:rsidRDefault="0B4CDEBA" w:rsidP="303CE17D">
      <w:pPr>
        <w:spacing w:before="240" w:after="240" w:line="240" w:lineRule="atLeast"/>
        <w:jc w:val="both"/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Ključne komponente projekta:</w:t>
      </w:r>
    </w:p>
    <w:p w14:paraId="4A79874A" w14:textId="4F49FE1E" w:rsidR="00746F6C" w:rsidRDefault="0B4CDEBA" w:rsidP="303CE17D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Dvorana</w:t>
      </w:r>
      <w:r w:rsidRPr="303CE17D">
        <w:rPr>
          <w:rFonts w:ascii="Calibri" w:eastAsia="Calibri" w:hAnsi="Calibri" w:cs="Calibri"/>
          <w:sz w:val="20"/>
          <w:szCs w:val="20"/>
        </w:rPr>
        <w:t xml:space="preserve"> s vrhunskom podlogom, tribinama, svlačionicama, LED rasvjetom i multimedijalnim sustavom.</w:t>
      </w:r>
    </w:p>
    <w:p w14:paraId="154A4B5A" w14:textId="475EE385" w:rsidR="00746F6C" w:rsidRDefault="0B4CDEBA" w:rsidP="303CE17D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Digitalna aplikacija</w:t>
      </w:r>
      <w:r w:rsidRPr="303CE17D">
        <w:rPr>
          <w:rFonts w:ascii="Calibri" w:eastAsia="Calibri" w:hAnsi="Calibri" w:cs="Calibri"/>
          <w:sz w:val="20"/>
          <w:szCs w:val="20"/>
        </w:rPr>
        <w:t xml:space="preserve"> za rezervaciju termina i praćenje statistika igrača.</w:t>
      </w:r>
    </w:p>
    <w:p w14:paraId="7A9658C0" w14:textId="0F913F68" w:rsidR="00746F6C" w:rsidRDefault="0B4CDEBA" w:rsidP="303CE17D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Marketinške aktivnosti</w:t>
      </w:r>
      <w:r w:rsidRPr="303CE17D">
        <w:rPr>
          <w:rFonts w:ascii="Calibri" w:eastAsia="Calibri" w:hAnsi="Calibri" w:cs="Calibri"/>
          <w:sz w:val="20"/>
          <w:szCs w:val="20"/>
        </w:rPr>
        <w:t xml:space="preserve"> uključuju promociju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hokeja kroz kampanje, sponzorstva i suradnje.</w:t>
      </w:r>
    </w:p>
    <w:p w14:paraId="7B43D108" w14:textId="1283C5D1" w:rsidR="00746F6C" w:rsidRDefault="0B4CDEBA" w:rsidP="303CE17D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Međunarodni turnir</w:t>
      </w:r>
      <w:r w:rsidRPr="303CE17D">
        <w:rPr>
          <w:rFonts w:ascii="Calibri" w:eastAsia="Calibri" w:hAnsi="Calibri" w:cs="Calibri"/>
          <w:sz w:val="20"/>
          <w:szCs w:val="20"/>
        </w:rPr>
        <w:t xml:space="preserve"> kao službeno otvorenje dvorane.</w:t>
      </w:r>
    </w:p>
    <w:p w14:paraId="571D3553" w14:textId="3F978C51" w:rsidR="00746F6C" w:rsidRDefault="0B4CDEBA" w:rsidP="303CE17D">
      <w:pPr>
        <w:spacing w:before="240" w:after="24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Projekt traje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>18 mjeseci</w:t>
      </w:r>
      <w:r w:rsidRPr="303CE17D">
        <w:rPr>
          <w:rFonts w:ascii="Calibri" w:eastAsia="Calibri" w:hAnsi="Calibri" w:cs="Calibri"/>
          <w:sz w:val="20"/>
          <w:szCs w:val="20"/>
        </w:rPr>
        <w:t xml:space="preserve">, uz planirani budžet od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>100 milijuna eura</w:t>
      </w:r>
      <w:r w:rsidRPr="303CE17D">
        <w:rPr>
          <w:rFonts w:ascii="Calibri" w:eastAsia="Calibri" w:hAnsi="Calibri" w:cs="Calibri"/>
          <w:sz w:val="20"/>
          <w:szCs w:val="20"/>
        </w:rPr>
        <w:t>. Cilj je potaknuti razvoj sporta i zajednice, unaprijediti infrastrukturu te povezati sport s tehnologijom i inovacijama.</w:t>
      </w:r>
      <w:r w:rsidR="417ABC55" w:rsidRPr="303CE17D"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16939868" w14:textId="77777777" w:rsidR="00746F6C" w:rsidRDefault="417ABC55">
      <w:pPr>
        <w:spacing w:before="240"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2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5" w:name="_Toc478654698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Razmatranja o poslovnom slučaju</w:t>
      </w:r>
      <w:bookmarkEnd w:id="5"/>
    </w:p>
    <w:p w14:paraId="42083EBB" w14:textId="77777777" w:rsidR="00746F6C" w:rsidRDefault="007154DF">
      <w:pPr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</w:p>
    <w:p w14:paraId="09C7F9EE" w14:textId="1749794E" w:rsidR="00746F6C" w:rsidRDefault="2ACEEBED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Unaprjeđenje infrastrukture i sportskog turizma</w:t>
      </w:r>
      <w:r w:rsidRPr="303CE17D">
        <w:rPr>
          <w:rFonts w:ascii="Calibri" w:eastAsia="Calibri" w:hAnsi="Calibri" w:cs="Calibri"/>
          <w:sz w:val="20"/>
          <w:szCs w:val="20"/>
        </w:rPr>
        <w:t xml:space="preserve">: Nova dvorana unaprijedit će sportsku infrastrukturu i postati ključna destinacija za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hokej.</w:t>
      </w:r>
    </w:p>
    <w:p w14:paraId="12B01B00" w14:textId="3545CDF9" w:rsidR="00746F6C" w:rsidRDefault="2ACEEBED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Podrška profesionalnim i rekreativnim igračima</w:t>
      </w:r>
      <w:r w:rsidRPr="303CE17D">
        <w:rPr>
          <w:rFonts w:ascii="Calibri" w:eastAsia="Calibri" w:hAnsi="Calibri" w:cs="Calibri"/>
          <w:sz w:val="20"/>
          <w:szCs w:val="20"/>
        </w:rPr>
        <w:t xml:space="preserve">: Moderni uvjeti i digitalna platforma podržat će sve razine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hokeja, od amatera do profesionalaca.</w:t>
      </w:r>
    </w:p>
    <w:p w14:paraId="5215DF94" w14:textId="6974AD3F" w:rsidR="00746F6C" w:rsidRDefault="2ACEEBED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Povezivanje sporta, tehnologije i inovacija</w:t>
      </w:r>
      <w:r w:rsidRPr="303CE17D">
        <w:rPr>
          <w:rFonts w:ascii="Calibri" w:eastAsia="Calibri" w:hAnsi="Calibri" w:cs="Calibri"/>
          <w:sz w:val="20"/>
          <w:szCs w:val="20"/>
        </w:rPr>
        <w:t>: Korištenje digitalnih rješenja povezat će sport s novim tehnologijama i inovacijama.</w:t>
      </w:r>
    </w:p>
    <w:p w14:paraId="14A14E10" w14:textId="18E73814" w:rsidR="00746F6C" w:rsidRDefault="2ACEEBED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Poslovna i ekonomska održivost</w:t>
      </w:r>
      <w:r w:rsidRPr="303CE17D">
        <w:rPr>
          <w:rFonts w:ascii="Calibri" w:eastAsia="Calibri" w:hAnsi="Calibri" w:cs="Calibri"/>
          <w:sz w:val="20"/>
          <w:szCs w:val="20"/>
        </w:rPr>
        <w:t>: Marketinške kampanje i sponzorstva osigurat će prihod i dugoročnu stabilnost projekta.</w:t>
      </w:r>
    </w:p>
    <w:p w14:paraId="0E782865" w14:textId="48FCFFFD" w:rsidR="00746F6C" w:rsidRDefault="2ACEEBED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Društveni i zajednički doprinos</w:t>
      </w:r>
      <w:r w:rsidRPr="303CE17D">
        <w:rPr>
          <w:rFonts w:ascii="Calibri" w:eastAsia="Calibri" w:hAnsi="Calibri" w:cs="Calibri"/>
          <w:sz w:val="20"/>
          <w:szCs w:val="20"/>
        </w:rPr>
        <w:t>: Projekt će stvoriti prostor za zajednicu i povećati društvenu povezanost kroz sport.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F2441B3" w14:textId="7EC7DE3D" w:rsidR="00746F6C" w:rsidRDefault="20F2F281" w:rsidP="303CE17D">
      <w:p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Unaprjeđenje infrastrukture i sportskog turizma</w:t>
      </w:r>
      <w:r w:rsidRPr="303CE17D">
        <w:rPr>
          <w:rFonts w:ascii="Calibri" w:eastAsia="Calibri" w:hAnsi="Calibri" w:cs="Calibri"/>
          <w:sz w:val="20"/>
          <w:szCs w:val="20"/>
        </w:rPr>
        <w:t xml:space="preserve">: Nova dvorana unaprijedit će sportsku infrastrukturu i postati ključna destinacija za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hokej.</w:t>
      </w:r>
    </w:p>
    <w:p w14:paraId="266CEF0D" w14:textId="5392EBD2" w:rsidR="00746F6C" w:rsidRDefault="20F2F281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Podrška profesionalnim i rekreativnim igračima</w:t>
      </w:r>
      <w:r w:rsidRPr="303CE17D">
        <w:rPr>
          <w:rFonts w:ascii="Calibri" w:eastAsia="Calibri" w:hAnsi="Calibri" w:cs="Calibri"/>
          <w:sz w:val="20"/>
          <w:szCs w:val="20"/>
        </w:rPr>
        <w:t xml:space="preserve">: Moderni uvjeti i digitalna platforma podržat će sve razine </w:t>
      </w:r>
      <w:proofErr w:type="spellStart"/>
      <w:r w:rsidRPr="303CE17D">
        <w:rPr>
          <w:rFonts w:ascii="Calibri" w:eastAsia="Calibri" w:hAnsi="Calibri" w:cs="Calibri"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sz w:val="20"/>
          <w:szCs w:val="20"/>
        </w:rPr>
        <w:t xml:space="preserve"> hokeja, od amatera do profesionalaca.</w:t>
      </w:r>
    </w:p>
    <w:p w14:paraId="2AA90EA9" w14:textId="54C90268" w:rsidR="00746F6C" w:rsidRDefault="20F2F281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Povezivanje sporta, tehnologije i inovacija</w:t>
      </w:r>
      <w:r w:rsidRPr="303CE17D">
        <w:rPr>
          <w:rFonts w:ascii="Calibri" w:eastAsia="Calibri" w:hAnsi="Calibri" w:cs="Calibri"/>
          <w:sz w:val="20"/>
          <w:szCs w:val="20"/>
        </w:rPr>
        <w:t>: Korištenje digitalnih rješenja povezat će sport s novim tehnologijama i inovacijama.</w:t>
      </w:r>
    </w:p>
    <w:p w14:paraId="18C6F353" w14:textId="10369F51" w:rsidR="00746F6C" w:rsidRDefault="20F2F281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Poslovna i ekonomska održivost</w:t>
      </w:r>
      <w:r w:rsidRPr="303CE17D">
        <w:rPr>
          <w:rFonts w:ascii="Calibri" w:eastAsia="Calibri" w:hAnsi="Calibri" w:cs="Calibri"/>
          <w:sz w:val="20"/>
          <w:szCs w:val="20"/>
        </w:rPr>
        <w:t>: Marketinške kampanje i sponzorstva osigurat će prihod i dugoročnu stabilnost projekta.</w:t>
      </w:r>
    </w:p>
    <w:p w14:paraId="2E698C12" w14:textId="1CE0E83F" w:rsidR="00746F6C" w:rsidRDefault="20F2F281" w:rsidP="303CE17D">
      <w:pPr>
        <w:pStyle w:val="ListParagraph"/>
        <w:numPr>
          <w:ilvl w:val="0"/>
          <w:numId w:val="25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Društveni i zajednički doprinos</w:t>
      </w:r>
      <w:r w:rsidRPr="303CE17D">
        <w:rPr>
          <w:rFonts w:ascii="Calibri" w:eastAsia="Calibri" w:hAnsi="Calibri" w:cs="Calibri"/>
          <w:sz w:val="20"/>
          <w:szCs w:val="20"/>
        </w:rPr>
        <w:t>: Projekt će stvoriti prostor za zajednicu i povećati društvenu povezanost kroz sport.</w:t>
      </w:r>
    </w:p>
    <w:p w14:paraId="61B840D7" w14:textId="4C6A6E69" w:rsidR="00746F6C" w:rsidRDefault="7A0BFE9F" w:rsidP="303CE17D">
      <w:pPr>
        <w:spacing w:before="240" w:after="240"/>
      </w:pPr>
      <w:r w:rsidRPr="303CE17D">
        <w:rPr>
          <w:rFonts w:ascii="Calibri" w:eastAsia="Calibri" w:hAnsi="Calibri" w:cs="Calibri"/>
          <w:b/>
          <w:bCs/>
        </w:rPr>
        <w:t>Financiranje projekta</w:t>
      </w:r>
      <w:r w:rsidRPr="303CE17D">
        <w:rPr>
          <w:rFonts w:ascii="Calibri" w:eastAsia="Calibri" w:hAnsi="Calibri" w:cs="Calibri"/>
        </w:rPr>
        <w:t>:</w:t>
      </w:r>
    </w:p>
    <w:p w14:paraId="59133241" w14:textId="34E9A10E" w:rsidR="00746F6C" w:rsidRDefault="7A0BFE9F" w:rsidP="303CE17D">
      <w:pPr>
        <w:pStyle w:val="ListParagraph"/>
        <w:numPr>
          <w:ilvl w:val="0"/>
          <w:numId w:val="23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Javni i privatni izvori</w:t>
      </w:r>
      <w:r w:rsidRPr="303CE17D">
        <w:rPr>
          <w:rFonts w:ascii="Calibri" w:eastAsia="Calibri" w:hAnsi="Calibri" w:cs="Calibri"/>
          <w:sz w:val="20"/>
          <w:szCs w:val="20"/>
        </w:rPr>
        <w:t>: Projekt će biti financiran kroz kombinaciju javnih fondova i privatnih investicija.</w:t>
      </w:r>
    </w:p>
    <w:p w14:paraId="0D7BBD9A" w14:textId="31034B3B" w:rsidR="00746F6C" w:rsidRDefault="7A0BFE9F" w:rsidP="303CE17D">
      <w:pPr>
        <w:pStyle w:val="ListParagraph"/>
        <w:numPr>
          <w:ilvl w:val="0"/>
          <w:numId w:val="23"/>
        </w:numPr>
        <w:spacing w:before="240" w:after="240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Sponzorstva i partnerstva</w:t>
      </w:r>
      <w:r w:rsidRPr="303CE17D">
        <w:rPr>
          <w:rFonts w:ascii="Calibri" w:eastAsia="Calibri" w:hAnsi="Calibri" w:cs="Calibri"/>
          <w:sz w:val="20"/>
          <w:szCs w:val="20"/>
        </w:rPr>
        <w:t>: Sponzori će financirati projekt kroz marketinške suradnje.</w:t>
      </w:r>
    </w:p>
    <w:p w14:paraId="515B76DB" w14:textId="6F369A78" w:rsidR="00746F6C" w:rsidRDefault="7A0BFE9F" w:rsidP="303CE17D">
      <w:pPr>
        <w:pStyle w:val="ListParagraph"/>
        <w:numPr>
          <w:ilvl w:val="0"/>
          <w:numId w:val="23"/>
        </w:numPr>
        <w:spacing w:before="240" w:after="240"/>
        <w:rPr>
          <w:rFonts w:ascii="Calibri" w:eastAsia="Calibri" w:hAnsi="Calibri" w:cs="Calibri"/>
          <w:kern w:val="2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Prihodi od događanja i turnira</w:t>
      </w:r>
      <w:r w:rsidRPr="303CE17D">
        <w:rPr>
          <w:rFonts w:ascii="Calibri" w:eastAsia="Calibri" w:hAnsi="Calibri" w:cs="Calibri"/>
          <w:sz w:val="20"/>
          <w:szCs w:val="20"/>
        </w:rPr>
        <w:t>: Prihodi će se generirati kroz ulaznice, suvenire i TV prava.</w:t>
      </w:r>
    </w:p>
    <w:p w14:paraId="342AF268" w14:textId="77777777" w:rsidR="00746F6C" w:rsidRDefault="417ABC55" w:rsidP="303CE17D">
      <w:pPr>
        <w:spacing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3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6" w:name="_Toc478654699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Opis projekta</w:t>
      </w:r>
      <w:bookmarkEnd w:id="6"/>
    </w:p>
    <w:p w14:paraId="6EA256B2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lastRenderedPageBreak/>
        <w:t>3.1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Ciljevi</w:t>
      </w:r>
    </w:p>
    <w:p w14:paraId="64E4DF7A" w14:textId="77777777" w:rsidR="00746F6C" w:rsidRDefault="417ABC55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303CE17D">
        <w:rPr>
          <w:rFonts w:eastAsia="Times New Roman" w:cs="Times New Roman"/>
          <w:i/>
          <w:iCs/>
          <w:color w:val="0070C0"/>
          <w:sz w:val="20"/>
          <w:szCs w:val="20"/>
        </w:rPr>
        <w:t xml:space="preserve">&lt;Ovaj dio bi trebao utvrditi ciljeve projekta. </w:t>
      </w:r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Koji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su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glavni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ciljevi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projekta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?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Što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projekt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treba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postići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u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svom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provedbenom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periodu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?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Ciljevi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trebaju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biti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r w:rsidRPr="303CE17D">
        <w:rPr>
          <w:rFonts w:eastAsia="Times New Roman" w:cs="Times New Roman"/>
          <w:b/>
          <w:bCs/>
          <w:i/>
          <w:iCs/>
          <w:color w:val="0070C0"/>
          <w:sz w:val="20"/>
          <w:szCs w:val="20"/>
          <w:lang w:val="en-US"/>
        </w:rPr>
        <w:t>SMART</w:t>
      </w:r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(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specifični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,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mjerljivi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,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dosežni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,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relevantni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,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vremenski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ograničeni</w:t>
      </w:r>
      <w:proofErr w:type="spellEnd"/>
      <w:r w:rsidRPr="303CE17D">
        <w:rPr>
          <w:rFonts w:eastAsia="Times New Roman" w:cs="Times New Roman"/>
          <w:i/>
          <w:iCs/>
          <w:color w:val="0070C0"/>
          <w:sz w:val="20"/>
          <w:szCs w:val="20"/>
          <w:lang w:val="en-US"/>
        </w:rPr>
        <w:t>)</w:t>
      </w:r>
      <w:r w:rsidRPr="303CE17D">
        <w:rPr>
          <w:rFonts w:eastAsia="Times New Roman" w:cs="Times New Roman"/>
          <w:i/>
          <w:iCs/>
          <w:color w:val="0070C0"/>
          <w:sz w:val="20"/>
          <w:szCs w:val="20"/>
        </w:rPr>
        <w:t>&gt;</w:t>
      </w:r>
    </w:p>
    <w:p w14:paraId="0DEFF12D" w14:textId="5FB55879" w:rsidR="00746F6C" w:rsidRDefault="12CBA66D" w:rsidP="303CE17D">
      <w:pPr>
        <w:pStyle w:val="Heading3"/>
        <w:numPr>
          <w:ilvl w:val="0"/>
          <w:numId w:val="26"/>
        </w:numPr>
        <w:spacing w:before="281" w:beforeAutospacing="0" w:after="281" w:afterAutospacing="0" w:line="259" w:lineRule="auto"/>
        <w:rPr>
          <w:rFonts w:ascii="Calibri Light" w:eastAsia="Calibri Light" w:hAnsi="Calibri Light" w:cs="Calibri Light"/>
          <w:sz w:val="28"/>
          <w:szCs w:val="28"/>
        </w:rPr>
      </w:pPr>
      <w:r w:rsidRPr="303CE17D">
        <w:rPr>
          <w:rFonts w:ascii="Calibri Light" w:eastAsia="Calibri Light" w:hAnsi="Calibri Light" w:cs="Calibri Light"/>
          <w:sz w:val="28"/>
          <w:szCs w:val="28"/>
        </w:rPr>
        <w:t xml:space="preserve">1. Izgradnja Dvorane za </w:t>
      </w:r>
      <w:proofErr w:type="spellStart"/>
      <w:r w:rsidRPr="303CE17D">
        <w:rPr>
          <w:rFonts w:ascii="Calibri Light" w:eastAsia="Calibri Light" w:hAnsi="Calibri Light" w:cs="Calibri Light"/>
          <w:sz w:val="28"/>
          <w:szCs w:val="28"/>
        </w:rPr>
        <w:t>Inline</w:t>
      </w:r>
      <w:proofErr w:type="spellEnd"/>
      <w:r w:rsidRPr="303CE17D">
        <w:rPr>
          <w:rFonts w:ascii="Calibri Light" w:eastAsia="Calibri Light" w:hAnsi="Calibri Light" w:cs="Calibri Light"/>
          <w:sz w:val="28"/>
          <w:szCs w:val="28"/>
        </w:rPr>
        <w:t xml:space="preserve"> Hokej</w:t>
      </w:r>
    </w:p>
    <w:p w14:paraId="187CDBB2" w14:textId="54AA3ADA" w:rsidR="00746F6C" w:rsidRDefault="12CBA66D" w:rsidP="303CE17D">
      <w:pPr>
        <w:pStyle w:val="ListParagraph"/>
        <w:rPr>
          <w:sz w:val="20"/>
          <w:szCs w:val="20"/>
        </w:rPr>
      </w:pPr>
      <w:r w:rsidRPr="303CE17D">
        <w:rPr>
          <w:sz w:val="20"/>
          <w:szCs w:val="20"/>
        </w:rPr>
        <w:t xml:space="preserve">Izgraditi dvoranu za </w:t>
      </w:r>
      <w:proofErr w:type="spellStart"/>
      <w:r w:rsidRPr="303CE17D">
        <w:rPr>
          <w:sz w:val="20"/>
          <w:szCs w:val="20"/>
        </w:rPr>
        <w:t>inline</w:t>
      </w:r>
      <w:proofErr w:type="spellEnd"/>
      <w:r w:rsidRPr="303CE17D">
        <w:rPr>
          <w:sz w:val="20"/>
          <w:szCs w:val="20"/>
        </w:rPr>
        <w:t xml:space="preserve"> hokej s kapacitetom od 2</w:t>
      </w:r>
      <w:r w:rsidR="257C3BF5" w:rsidRPr="303CE17D">
        <w:rPr>
          <w:sz w:val="20"/>
          <w:szCs w:val="20"/>
        </w:rPr>
        <w:t>0</w:t>
      </w:r>
      <w:r w:rsidRPr="303CE17D">
        <w:rPr>
          <w:sz w:val="20"/>
          <w:szCs w:val="20"/>
        </w:rPr>
        <w:t xml:space="preserve">000 mjesta unutar </w:t>
      </w:r>
      <w:r w:rsidR="5009F191" w:rsidRPr="303CE17D">
        <w:rPr>
          <w:sz w:val="20"/>
          <w:szCs w:val="20"/>
        </w:rPr>
        <w:t>1</w:t>
      </w:r>
      <w:r w:rsidR="3953866C" w:rsidRPr="303CE17D">
        <w:rPr>
          <w:sz w:val="20"/>
          <w:szCs w:val="20"/>
        </w:rPr>
        <w:t>8</w:t>
      </w:r>
      <w:r w:rsidRPr="303CE17D">
        <w:rPr>
          <w:sz w:val="20"/>
          <w:szCs w:val="20"/>
        </w:rPr>
        <w:t xml:space="preserve"> mjeseca, osiguravši sve potrebne dozvole i financiranje unutar 6 mjeseci, s početkom izgradnje u roku od 3 mjeseca od dobivanja dozvola, zadovoljavajući sve sigurnosne standarde i potrebe lokalne zajednice.</w:t>
      </w:r>
    </w:p>
    <w:p w14:paraId="3597D146" w14:textId="1A213003" w:rsidR="00746F6C" w:rsidRDefault="12CBA66D" w:rsidP="303CE17D">
      <w:pPr>
        <w:pStyle w:val="Heading3"/>
        <w:numPr>
          <w:ilvl w:val="0"/>
          <w:numId w:val="18"/>
        </w:numPr>
        <w:spacing w:before="281" w:beforeAutospacing="0" w:after="281" w:afterAutospacing="0"/>
        <w:rPr>
          <w:rFonts w:ascii="Calibri Light" w:eastAsia="Calibri Light" w:hAnsi="Calibri Light" w:cs="Calibri Light"/>
          <w:sz w:val="28"/>
          <w:szCs w:val="28"/>
        </w:rPr>
      </w:pPr>
      <w:r w:rsidRPr="303CE17D">
        <w:rPr>
          <w:rFonts w:ascii="Calibri Light" w:eastAsia="Calibri Light" w:hAnsi="Calibri Light" w:cs="Calibri Light"/>
          <w:sz w:val="28"/>
          <w:szCs w:val="28"/>
        </w:rPr>
        <w:t xml:space="preserve">2. Razvoj Aplikacije za </w:t>
      </w:r>
      <w:r w:rsidR="1CD10BAD" w:rsidRPr="303CE17D">
        <w:rPr>
          <w:rFonts w:ascii="Calibri Light" w:eastAsia="Calibri Light" w:hAnsi="Calibri Light" w:cs="Calibri Light"/>
          <w:sz w:val="28"/>
          <w:szCs w:val="28"/>
        </w:rPr>
        <w:t>rezervaciju termina i praćenje statistike</w:t>
      </w:r>
    </w:p>
    <w:p w14:paraId="4827E4DD" w14:textId="3DB94E5F" w:rsidR="00746F6C" w:rsidRDefault="67713338" w:rsidP="303CE17D">
      <w:pPr>
        <w:pStyle w:val="ListParagraph"/>
        <w:rPr>
          <w:sz w:val="20"/>
          <w:szCs w:val="20"/>
        </w:rPr>
      </w:pPr>
      <w:r w:rsidRPr="303CE17D">
        <w:rPr>
          <w:sz w:val="20"/>
          <w:szCs w:val="20"/>
        </w:rPr>
        <w:t xml:space="preserve">Angažirati </w:t>
      </w:r>
      <w:r w:rsidR="3FB6A34B" w:rsidRPr="303CE17D">
        <w:rPr>
          <w:sz w:val="20"/>
          <w:szCs w:val="20"/>
        </w:rPr>
        <w:t xml:space="preserve">vanjskog izvođača </w:t>
      </w:r>
      <w:r w:rsidRPr="303CE17D">
        <w:rPr>
          <w:sz w:val="20"/>
          <w:szCs w:val="20"/>
        </w:rPr>
        <w:t>za r</w:t>
      </w:r>
      <w:r w:rsidR="12CBA66D" w:rsidRPr="303CE17D">
        <w:rPr>
          <w:sz w:val="20"/>
          <w:szCs w:val="20"/>
        </w:rPr>
        <w:t>azvi</w:t>
      </w:r>
      <w:r w:rsidR="489938EC" w:rsidRPr="303CE17D">
        <w:rPr>
          <w:sz w:val="20"/>
          <w:szCs w:val="20"/>
        </w:rPr>
        <w:t>tak</w:t>
      </w:r>
      <w:r w:rsidR="12CBA66D" w:rsidRPr="303CE17D">
        <w:rPr>
          <w:sz w:val="20"/>
          <w:szCs w:val="20"/>
        </w:rPr>
        <w:t xml:space="preserve"> mobiln</w:t>
      </w:r>
      <w:r w:rsidR="72DB82F7" w:rsidRPr="303CE17D">
        <w:rPr>
          <w:sz w:val="20"/>
          <w:szCs w:val="20"/>
        </w:rPr>
        <w:t>e</w:t>
      </w:r>
      <w:r w:rsidR="12CBA66D" w:rsidRPr="303CE17D">
        <w:rPr>
          <w:sz w:val="20"/>
          <w:szCs w:val="20"/>
        </w:rPr>
        <w:t xml:space="preserve"> aplikacij</w:t>
      </w:r>
      <w:r w:rsidR="1F6ED50C" w:rsidRPr="303CE17D">
        <w:rPr>
          <w:sz w:val="20"/>
          <w:szCs w:val="20"/>
        </w:rPr>
        <w:t>e</w:t>
      </w:r>
      <w:r w:rsidR="12CBA66D" w:rsidRPr="303CE17D">
        <w:rPr>
          <w:sz w:val="20"/>
          <w:szCs w:val="20"/>
        </w:rPr>
        <w:t xml:space="preserve"> za kupnju ulaznica i pregled rasporeda utakmica, spremnu za lansiranje 2 mjeseca prije otvaranja dvorane, s dovršenim testiranjem 1 mjesec prije lansiranja, kompatibilnu s </w:t>
      </w:r>
      <w:proofErr w:type="spellStart"/>
      <w:r w:rsidR="12CBA66D" w:rsidRPr="303CE17D">
        <w:rPr>
          <w:sz w:val="20"/>
          <w:szCs w:val="20"/>
        </w:rPr>
        <w:t>iOS</w:t>
      </w:r>
      <w:proofErr w:type="spellEnd"/>
      <w:r w:rsidR="12CBA66D" w:rsidRPr="303CE17D">
        <w:rPr>
          <w:sz w:val="20"/>
          <w:szCs w:val="20"/>
        </w:rPr>
        <w:t xml:space="preserve"> i Android uređajima.</w:t>
      </w:r>
    </w:p>
    <w:p w14:paraId="14DDC858" w14:textId="73814DC6" w:rsidR="00746F6C" w:rsidRDefault="12CBA66D" w:rsidP="303CE17D">
      <w:pPr>
        <w:pStyle w:val="Heading3"/>
        <w:numPr>
          <w:ilvl w:val="0"/>
          <w:numId w:val="17"/>
        </w:numPr>
        <w:spacing w:before="281" w:beforeAutospacing="0" w:after="281" w:afterAutospacing="0" w:line="259" w:lineRule="auto"/>
        <w:rPr>
          <w:rFonts w:ascii="Calibri Light" w:eastAsia="Calibri Light" w:hAnsi="Calibri Light" w:cs="Calibri Light"/>
          <w:sz w:val="28"/>
          <w:szCs w:val="28"/>
        </w:rPr>
      </w:pPr>
      <w:r w:rsidRPr="303CE17D">
        <w:rPr>
          <w:rFonts w:ascii="Calibri Light" w:eastAsia="Calibri Light" w:hAnsi="Calibri Light" w:cs="Calibri Light"/>
          <w:sz w:val="28"/>
          <w:szCs w:val="28"/>
        </w:rPr>
        <w:t>3. Marketing Strategija</w:t>
      </w:r>
    </w:p>
    <w:p w14:paraId="2BF80776" w14:textId="06ADEDBE" w:rsidR="00746F6C" w:rsidRDefault="12CBA66D" w:rsidP="303CE17D">
      <w:pPr>
        <w:pStyle w:val="ListParagraph"/>
        <w:rPr>
          <w:rFonts w:eastAsia="Times New Roman" w:cs="Times New Roman"/>
          <w:color w:val="000000"/>
          <w:sz w:val="20"/>
          <w:szCs w:val="20"/>
        </w:rPr>
      </w:pPr>
      <w:r w:rsidRPr="303CE17D">
        <w:rPr>
          <w:sz w:val="20"/>
          <w:szCs w:val="20"/>
        </w:rPr>
        <w:t>Kreirati marketing kampanju za promociju dvorane i aplikacije, povećavajući broj predbilježbi za ulaznice za 20% u roku od 3 mjeseca, pokrenuvši kampanju 6 mjeseci prije otvaranja dvorane, usmjerenu na lokalnu zajednicu i ljubitelje sporta.</w:t>
      </w:r>
      <w:r w:rsidR="417ABC55" w:rsidRPr="303CE17D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6144389C" w14:textId="3AFBD795" w:rsidR="303CE17D" w:rsidRDefault="303CE17D" w:rsidP="303CE17D">
      <w:pPr>
        <w:pStyle w:val="ListParagraph"/>
        <w:rPr>
          <w:rFonts w:eastAsia="Times New Roman" w:cs="Times New Roman"/>
          <w:color w:val="000000" w:themeColor="text1"/>
          <w:sz w:val="20"/>
          <w:szCs w:val="20"/>
        </w:rPr>
      </w:pPr>
    </w:p>
    <w:p w14:paraId="654305B1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3.2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Opseg</w:t>
      </w:r>
    </w:p>
    <w:p w14:paraId="573E509C" w14:textId="24A79C78" w:rsidR="00746F6C" w:rsidRDefault="417ABC55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 w:rsidRPr="303CE17D">
        <w:rPr>
          <w:rFonts w:eastAsia="Times New Roman" w:cs="Times New Roman"/>
          <w:color w:val="000000" w:themeColor="text1"/>
        </w:rPr>
        <w:t>3.2.1</w:t>
      </w:r>
      <w:r w:rsidRPr="303CE17D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303CE17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bookmarkStart w:id="7" w:name="_Toc478654701"/>
      <w:r w:rsidRPr="303CE17D">
        <w:rPr>
          <w:rFonts w:eastAsia="Times New Roman" w:cs="Times New Roman"/>
          <w:color w:val="000000" w:themeColor="text1"/>
        </w:rPr>
        <w:t>Uključuje ("UNUTAR" opsega)</w:t>
      </w:r>
      <w:bookmarkEnd w:id="7"/>
    </w:p>
    <w:p w14:paraId="49562D1E" w14:textId="6F146EFA" w:rsidR="0867883E" w:rsidRDefault="0867883E" w:rsidP="303CE17D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Projekt obuhvaća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 xml:space="preserve">izgradnju moderne </w:t>
      </w:r>
      <w:proofErr w:type="spellStart"/>
      <w:r w:rsidRPr="303CE17D">
        <w:rPr>
          <w:rFonts w:ascii="Calibri" w:eastAsia="Calibri" w:hAnsi="Calibri" w:cs="Calibri"/>
          <w:b/>
          <w:bCs/>
          <w:sz w:val="20"/>
          <w:szCs w:val="20"/>
        </w:rPr>
        <w:t>inline</w:t>
      </w:r>
      <w:proofErr w:type="spellEnd"/>
      <w:r w:rsidRPr="303CE17D">
        <w:rPr>
          <w:rFonts w:ascii="Calibri" w:eastAsia="Calibri" w:hAnsi="Calibri" w:cs="Calibri"/>
          <w:b/>
          <w:bCs/>
          <w:sz w:val="20"/>
          <w:szCs w:val="20"/>
        </w:rPr>
        <w:t xml:space="preserve"> hokej dvorane</w:t>
      </w:r>
      <w:r w:rsidRPr="303CE17D">
        <w:rPr>
          <w:rFonts w:ascii="Calibri" w:eastAsia="Calibri" w:hAnsi="Calibri" w:cs="Calibri"/>
          <w:sz w:val="20"/>
          <w:szCs w:val="20"/>
        </w:rPr>
        <w:t>, razvoj digitalne aplikacije te marketinške i promotivne aktivnosti.</w:t>
      </w:r>
    </w:p>
    <w:p w14:paraId="3FF78212" w14:textId="146021E5" w:rsidR="0867883E" w:rsidRDefault="0867883E" w:rsidP="303CE17D">
      <w:pPr>
        <w:spacing w:before="240" w:after="240"/>
        <w:jc w:val="both"/>
      </w:pPr>
      <w:r w:rsidRPr="303CE17D">
        <w:rPr>
          <w:rFonts w:ascii="Calibri" w:eastAsia="Calibri" w:hAnsi="Calibri" w:cs="Calibri"/>
          <w:b/>
          <w:bCs/>
        </w:rPr>
        <w:t>Glavne komponente:</w:t>
      </w:r>
    </w:p>
    <w:p w14:paraId="30ED4D55" w14:textId="435AEF6C" w:rsidR="4650DD66" w:rsidRDefault="4650DD66" w:rsidP="303CE17D">
      <w:p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t>Izgradnja Dvorane</w:t>
      </w:r>
    </w:p>
    <w:p w14:paraId="7822C226" w14:textId="3613A5AF" w:rsidR="4650DD66" w:rsidRDefault="4650DD66" w:rsidP="303CE17D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Građevinski Radovi: Sve aktivnosti vezane uz izgradnju same dvorane, uključujući temelje, konstrukciju, krov i vanjske zidove. </w:t>
      </w:r>
    </w:p>
    <w:p w14:paraId="64A5F0A1" w14:textId="29A365C9" w:rsidR="4650DD66" w:rsidRDefault="4650DD66" w:rsidP="303CE17D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>Unutrašnja Opremljenost: Izgradnja i opremanje unutrašnjih prostorija, uključujući teren, svlačionice i pomoćne prostorije.</w:t>
      </w:r>
    </w:p>
    <w:p w14:paraId="113CE64B" w14:textId="04372ED4" w:rsidR="4650DD66" w:rsidRDefault="4650DD66" w:rsidP="303CE17D">
      <w:p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t>Tehnička Infrastruktura</w:t>
      </w:r>
    </w:p>
    <w:p w14:paraId="0E32D057" w14:textId="570C9CDA" w:rsidR="4650DD66" w:rsidRDefault="4650DD66" w:rsidP="303CE17D">
      <w:pPr>
        <w:pStyle w:val="ListParagraph"/>
        <w:numPr>
          <w:ilvl w:val="0"/>
          <w:numId w:val="5"/>
        </w:numPr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Električna Instalacija: Instalacija električnih sustava i rasvjete. </w:t>
      </w:r>
    </w:p>
    <w:p w14:paraId="6D1A8389" w14:textId="3419B03D" w:rsidR="4650DD66" w:rsidRDefault="4650DD66" w:rsidP="303CE17D">
      <w:pPr>
        <w:pStyle w:val="ListParagraph"/>
        <w:numPr>
          <w:ilvl w:val="0"/>
          <w:numId w:val="5"/>
        </w:numPr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HVAC Sustavi: Instalacija sustava grijanja, ventilacije i klimatizacije. </w:t>
      </w:r>
    </w:p>
    <w:p w14:paraId="1346D80F" w14:textId="4549DA7C" w:rsidR="4650DD66" w:rsidRDefault="4650DD66" w:rsidP="303CE17D">
      <w:pPr>
        <w:pStyle w:val="ListParagraph"/>
        <w:numPr>
          <w:ilvl w:val="0"/>
          <w:numId w:val="4"/>
        </w:numPr>
        <w:spacing w:before="240" w:after="24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sz w:val="20"/>
          <w:szCs w:val="20"/>
        </w:rPr>
        <w:t>Sigurnosni Sustavi: Instalacija protupožarnih i sigurnosnih sustava.</w:t>
      </w:r>
    </w:p>
    <w:p w14:paraId="68D18ABB" w14:textId="63C76AE4" w:rsidR="4650DD66" w:rsidRDefault="4650DD66" w:rsidP="303CE17D">
      <w:p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t>Razvoj Aplikacije za Ulaznice</w:t>
      </w:r>
    </w:p>
    <w:p w14:paraId="50D4EB0D" w14:textId="2434C458" w:rsidR="4650DD66" w:rsidRDefault="4650DD66" w:rsidP="303CE17D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Dizajn i Razvoj: Kreiranje korisničkog sučelja i funkcionalnosti aplikacije. </w:t>
      </w:r>
    </w:p>
    <w:p w14:paraId="715D26B4" w14:textId="58F86DFF" w:rsidR="4650DD66" w:rsidRDefault="4650DD66" w:rsidP="303CE17D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>Integracija i Testiranje: Integracija s platformama za plaćanje i testiranje aplikacije.</w:t>
      </w:r>
    </w:p>
    <w:p w14:paraId="50BFD279" w14:textId="2F254A72" w:rsidR="4650DD66" w:rsidRDefault="4650DD66" w:rsidP="303CE17D">
      <w:p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lastRenderedPageBreak/>
        <w:t>Marketing i Promocija</w:t>
      </w:r>
    </w:p>
    <w:p w14:paraId="5903A1A8" w14:textId="476110A2" w:rsidR="4650DD66" w:rsidRDefault="4650DD66" w:rsidP="303CE17D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Marketing Strategija: Kreiranje i provedba marketing kampanje. </w:t>
      </w:r>
    </w:p>
    <w:p w14:paraId="7E1ED329" w14:textId="4F219899" w:rsidR="4650DD66" w:rsidRDefault="4650DD66" w:rsidP="303CE17D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>Partnerstva: Sklapanje ugovora sa sponzorima i partnerima.</w:t>
      </w:r>
    </w:p>
    <w:p w14:paraId="54E94696" w14:textId="59EA4177" w:rsidR="4650DD66" w:rsidRDefault="4650DD66" w:rsidP="303CE17D">
      <w:p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t>Održavanje i Eksploatacija</w:t>
      </w:r>
    </w:p>
    <w:p w14:paraId="70B4BCE9" w14:textId="1B262E53" w:rsidR="4650DD66" w:rsidRDefault="4650DD66" w:rsidP="303CE17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Plan Održavanja: Izrada plana za redovito održavanje dvorane i opreme. </w:t>
      </w:r>
    </w:p>
    <w:p w14:paraId="20041A46" w14:textId="42ACD159" w:rsidR="4650DD66" w:rsidRDefault="4650DD66" w:rsidP="303CE17D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  <w:sz w:val="20"/>
          <w:szCs w:val="20"/>
        </w:rPr>
        <w:t>Upravljanje Resursima: Upravljanje ljudskim i materijalnim resursima tijekom eksploatacije.</w:t>
      </w:r>
    </w:p>
    <w:p w14:paraId="532A795C" w14:textId="2C8F5065" w:rsidR="4650DD66" w:rsidRDefault="4650DD66" w:rsidP="303CE17D">
      <w:pPr>
        <w:pStyle w:val="ListParagraph"/>
        <w:numPr>
          <w:ilvl w:val="0"/>
          <w:numId w:val="14"/>
        </w:numPr>
        <w:spacing w:before="240" w:after="240"/>
        <w:jc w:val="both"/>
        <w:rPr>
          <w:rFonts w:ascii="Calibri" w:eastAsia="Calibri" w:hAnsi="Calibri" w:cs="Calibri"/>
        </w:rPr>
      </w:pPr>
      <w:r w:rsidRPr="303CE17D">
        <w:rPr>
          <w:rFonts w:ascii="Calibri" w:eastAsia="Calibri" w:hAnsi="Calibri" w:cs="Calibri"/>
        </w:rPr>
        <w:t>Završne Aktivnosti</w:t>
      </w:r>
    </w:p>
    <w:p w14:paraId="5EC03A4A" w14:textId="5605EE46" w:rsidR="4650DD66" w:rsidRDefault="4650DD66" w:rsidP="303CE17D">
      <w:p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sz w:val="20"/>
          <w:szCs w:val="20"/>
        </w:rPr>
        <w:t xml:space="preserve">Finalna Inspekcija: Provjera da li je sve izgrađeno prema specifikacijama. </w:t>
      </w:r>
      <w:r>
        <w:br/>
      </w:r>
      <w:r w:rsidRPr="303CE17D">
        <w:rPr>
          <w:rFonts w:ascii="Calibri" w:eastAsia="Calibri" w:hAnsi="Calibri" w:cs="Calibri"/>
          <w:sz w:val="20"/>
          <w:szCs w:val="20"/>
        </w:rPr>
        <w:t>Otvaranje: Organiziranje svečanog otvaranja i početnih događanja.</w:t>
      </w:r>
    </w:p>
    <w:p w14:paraId="2F8B0F27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4D12AEE" w14:textId="77777777" w:rsidR="00746F6C" w:rsidRDefault="417ABC55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 w:rsidRPr="303CE17D">
        <w:rPr>
          <w:rFonts w:eastAsia="Times New Roman" w:cs="Times New Roman"/>
          <w:color w:val="000000" w:themeColor="text1"/>
        </w:rPr>
        <w:t>3.2.2</w:t>
      </w:r>
      <w:r w:rsidRPr="303CE17D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303CE17D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   </w:t>
      </w:r>
      <w:bookmarkStart w:id="8" w:name="_Toc478654702"/>
      <w:r w:rsidRPr="303CE17D">
        <w:rPr>
          <w:rFonts w:eastAsia="Times New Roman" w:cs="Times New Roman"/>
          <w:color w:val="000000" w:themeColor="text1"/>
        </w:rPr>
        <w:t>Ne uključuje</w:t>
      </w:r>
      <w:r w:rsidRPr="303CE17D"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 w:rsidRPr="303CE17D">
        <w:rPr>
          <w:rFonts w:eastAsia="Times New Roman" w:cs="Times New Roman"/>
          <w:color w:val="000000" w:themeColor="text1"/>
        </w:rPr>
        <w:t>("IZVAN" opsega)</w:t>
      </w:r>
      <w:bookmarkEnd w:id="8"/>
    </w:p>
    <w:p w14:paraId="62318F48" w14:textId="389D8BD4" w:rsidR="00746F6C" w:rsidRDefault="2DDC6217" w:rsidP="303CE17D">
      <w:pPr>
        <w:pStyle w:val="ListParagraph"/>
        <w:numPr>
          <w:ilvl w:val="0"/>
          <w:numId w:val="26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 w:rsidRPr="303CE17D">
        <w:rPr>
          <w:sz w:val="20"/>
          <w:szCs w:val="20"/>
        </w:rPr>
        <w:t xml:space="preserve">Projekt </w:t>
      </w:r>
      <w:r w:rsidRPr="303CE17D">
        <w:rPr>
          <w:b/>
          <w:bCs/>
          <w:sz w:val="20"/>
          <w:szCs w:val="20"/>
        </w:rPr>
        <w:t>ne uključuje</w:t>
      </w:r>
      <w:r w:rsidRPr="303CE17D">
        <w:rPr>
          <w:sz w:val="20"/>
          <w:szCs w:val="20"/>
        </w:rPr>
        <w:t xml:space="preserve"> aktivnosti i elemente koji nisu ključni za izgradnju i početnu operativnost </w:t>
      </w:r>
      <w:proofErr w:type="spellStart"/>
      <w:r w:rsidRPr="303CE17D">
        <w:rPr>
          <w:sz w:val="20"/>
          <w:szCs w:val="20"/>
        </w:rPr>
        <w:t>inline</w:t>
      </w:r>
      <w:proofErr w:type="spellEnd"/>
      <w:r w:rsidRPr="303CE17D">
        <w:rPr>
          <w:sz w:val="20"/>
          <w:szCs w:val="20"/>
        </w:rPr>
        <w:t xml:space="preserve"> hokej dvorane. To znači da sljedeće stavke nisu dio planiranog opsega:</w:t>
      </w:r>
    </w:p>
    <w:p w14:paraId="55BE4814" w14:textId="3F50385E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Održavanje i daljnje upravljanje dvoranom</w:t>
      </w:r>
      <w:r w:rsidRPr="303CE17D">
        <w:rPr>
          <w:sz w:val="20"/>
          <w:szCs w:val="20"/>
        </w:rPr>
        <w:t xml:space="preserve"> nakon završetka projekta</w:t>
      </w:r>
    </w:p>
    <w:p w14:paraId="751E6AB6" w14:textId="7C311029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Proširenja ili dodatne građevinske faze</w:t>
      </w:r>
      <w:r w:rsidRPr="303CE17D">
        <w:rPr>
          <w:sz w:val="20"/>
          <w:szCs w:val="20"/>
        </w:rPr>
        <w:t xml:space="preserve"> izvan prvotnog plana</w:t>
      </w:r>
    </w:p>
    <w:p w14:paraId="15193DB9" w14:textId="50F122D5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Individualni treninzi i sportski programi</w:t>
      </w:r>
      <w:r w:rsidRPr="303CE17D">
        <w:rPr>
          <w:sz w:val="20"/>
          <w:szCs w:val="20"/>
        </w:rPr>
        <w:t xml:space="preserve"> – korisnici će sami organizirati treninge i događanja</w:t>
      </w:r>
    </w:p>
    <w:p w14:paraId="10933239" w14:textId="76B77135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Financiranje privatnih timova ili klubova</w:t>
      </w:r>
      <w:r w:rsidRPr="303CE17D">
        <w:rPr>
          <w:sz w:val="20"/>
          <w:szCs w:val="20"/>
        </w:rPr>
        <w:t xml:space="preserve"> koji koriste dvoranu</w:t>
      </w:r>
    </w:p>
    <w:p w14:paraId="79A96C55" w14:textId="30D40B82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Razvoj dodatnih aplikacija</w:t>
      </w:r>
      <w:r w:rsidRPr="303CE17D">
        <w:rPr>
          <w:sz w:val="20"/>
          <w:szCs w:val="20"/>
        </w:rPr>
        <w:t xml:space="preserve"> osim one predviđene za rezervacije i statistike</w:t>
      </w:r>
    </w:p>
    <w:p w14:paraId="54E80AB4" w14:textId="4930F79F" w:rsidR="00746F6C" w:rsidRDefault="2DDC6217" w:rsidP="303CE17D">
      <w:pPr>
        <w:pStyle w:val="ListParagraph"/>
        <w:numPr>
          <w:ilvl w:val="0"/>
          <w:numId w:val="26"/>
        </w:numPr>
        <w:spacing w:line="240" w:lineRule="atLeast"/>
        <w:rPr>
          <w:sz w:val="20"/>
          <w:szCs w:val="20"/>
        </w:rPr>
      </w:pPr>
      <w:r w:rsidRPr="303CE17D">
        <w:rPr>
          <w:b/>
          <w:bCs/>
          <w:sz w:val="20"/>
          <w:szCs w:val="20"/>
        </w:rPr>
        <w:t>Dugoročne promotivne aktivnosti</w:t>
      </w:r>
      <w:r w:rsidRPr="303CE17D">
        <w:rPr>
          <w:sz w:val="20"/>
          <w:szCs w:val="20"/>
        </w:rPr>
        <w:t xml:space="preserve"> nakon završetka prvog turnira</w:t>
      </w:r>
    </w:p>
    <w:p w14:paraId="26F72373" w14:textId="40A8DBF0" w:rsidR="00746F6C" w:rsidRDefault="00746F6C" w:rsidP="303CE17D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7217C558" w14:textId="77777777" w:rsidR="00746F6C" w:rsidRDefault="417ABC55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303CE17D">
        <w:rPr>
          <w:rFonts w:eastAsia="Times New Roman" w:cs="Times New Roman"/>
          <w:b/>
          <w:bCs/>
          <w:color w:val="000000" w:themeColor="text1"/>
        </w:rPr>
        <w:t>3.3</w:t>
      </w:r>
      <w:r w:rsidRPr="303CE17D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t> </w:t>
      </w:r>
      <w:r w:rsidRPr="303CE17D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</w:t>
      </w:r>
      <w:bookmarkStart w:id="9" w:name="_Toc478654704"/>
      <w:r w:rsidRPr="303CE17D">
        <w:rPr>
          <w:rFonts w:eastAsia="Times New Roman" w:cs="Times New Roman"/>
          <w:b/>
          <w:bCs/>
          <w:color w:val="000000" w:themeColor="text1"/>
        </w:rPr>
        <w:t>Uvjeti za uspjeh</w:t>
      </w:r>
      <w:bookmarkEnd w:id="9"/>
    </w:p>
    <w:p w14:paraId="3C411C9B" w14:textId="21E325A2" w:rsidR="00746F6C" w:rsidRDefault="21BE9B16" w:rsidP="303CE17D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Izgradnja dvorane prema specifikacijama</w:t>
      </w:r>
      <w:r w:rsidRPr="303CE17D">
        <w:rPr>
          <w:rFonts w:ascii="Calibri" w:eastAsia="Calibri" w:hAnsi="Calibri" w:cs="Calibri"/>
          <w:sz w:val="20"/>
          <w:szCs w:val="20"/>
        </w:rPr>
        <w:t>: Dvorana mora biti izgrađena prema planiranim specifikacijama (podloga, tribine, svlačionice, rasvjeta) unutar budžeta i u roku od 18 mjeseci.</w:t>
      </w:r>
    </w:p>
    <w:p w14:paraId="08EDA7E7" w14:textId="10548073" w:rsidR="00746F6C" w:rsidRDefault="21BE9B16" w:rsidP="303CE17D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Funkcionalnost aplikacije</w:t>
      </w:r>
      <w:r w:rsidRPr="303CE17D">
        <w:rPr>
          <w:rFonts w:ascii="Calibri" w:eastAsia="Calibri" w:hAnsi="Calibri" w:cs="Calibri"/>
          <w:sz w:val="20"/>
          <w:szCs w:val="20"/>
        </w:rPr>
        <w:t>: Aplikacija za rezervaciju termina i praćenje statistike mora biti operativna i pozitivno ocijenjena od korisnika.</w:t>
      </w:r>
    </w:p>
    <w:p w14:paraId="5CD37C68" w14:textId="21A632A8" w:rsidR="00746F6C" w:rsidRDefault="21BE9B16" w:rsidP="303CE17D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Organizacija prvog međunarodnog turnira</w:t>
      </w:r>
      <w:r w:rsidRPr="303CE17D">
        <w:rPr>
          <w:rFonts w:ascii="Calibri" w:eastAsia="Calibri" w:hAnsi="Calibri" w:cs="Calibri"/>
          <w:sz w:val="20"/>
          <w:szCs w:val="20"/>
        </w:rPr>
        <w:t>: Turnir treba biti uspješno organiziran s minimalno 8 sudionika i 1.000 gledatelja.</w:t>
      </w:r>
    </w:p>
    <w:p w14:paraId="566E8046" w14:textId="4BAB9942" w:rsidR="00746F6C" w:rsidRDefault="21BE9B16" w:rsidP="303CE17D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Poštivanje rasporeda i budžeta</w:t>
      </w:r>
      <w:r w:rsidRPr="303CE17D">
        <w:rPr>
          <w:rFonts w:ascii="Calibri" w:eastAsia="Calibri" w:hAnsi="Calibri" w:cs="Calibri"/>
          <w:sz w:val="20"/>
          <w:szCs w:val="20"/>
        </w:rPr>
        <w:t>: Projekt mora biti dovršen na vrijeme (18 mjeseci) i unutar planiranih 100.000.000 €.</w:t>
      </w:r>
    </w:p>
    <w:p w14:paraId="6F0DE970" w14:textId="577ECDED" w:rsidR="00746F6C" w:rsidRDefault="21BE9B16" w:rsidP="303CE17D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Generiranje prihoda</w:t>
      </w:r>
      <w:r w:rsidRPr="303CE17D">
        <w:rPr>
          <w:rFonts w:ascii="Calibri" w:eastAsia="Calibri" w:hAnsi="Calibri" w:cs="Calibri"/>
          <w:sz w:val="20"/>
          <w:szCs w:val="20"/>
        </w:rPr>
        <w:t>: Projekt mora ostvariti minimalno 20% prihoda od planiranih izvora (sponzori, turniri, karte) u prvoj godini.</w:t>
      </w:r>
    </w:p>
    <w:p w14:paraId="03C17370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3.4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0" w:name="_Toc478654705"/>
      <w:r>
        <w:rPr>
          <w:rFonts w:eastAsia="Times New Roman" w:cs="Times New Roman"/>
          <w:b/>
          <w:bCs/>
          <w:color w:val="000000"/>
        </w:rPr>
        <w:t>Dionici i korisničke potrebe</w:t>
      </w:r>
      <w:bookmarkEnd w:id="10"/>
    </w:p>
    <w:p w14:paraId="2F764C02" w14:textId="77777777" w:rsidR="00746F6C" w:rsidRDefault="007154DF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 navesti ključne potrebe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dionika 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korisnika kojima će se projekt baviti.</w:t>
      </w:r>
    </w:p>
    <w:p w14:paraId="684EA4AB" w14:textId="77777777" w:rsidR="00746F6C" w:rsidRDefault="007154DF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(Korisnik se smatra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grupom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- ili pojedincem -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koji će koristiti jedan ili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više izlaznih rezultata projekta).&gt;</w:t>
      </w:r>
    </w:p>
    <w:p w14:paraId="2C1019F3" w14:textId="77777777" w:rsidR="00746F6C" w:rsidRDefault="00746F6C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00C0535A" w14:textId="77777777" w:rsidR="00746F6C" w:rsidRDefault="00746F6C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1050"/>
        <w:gridCol w:w="3478"/>
        <w:gridCol w:w="4543"/>
      </w:tblGrid>
      <w:tr w:rsidR="00746F6C" w14:paraId="275206DD" w14:textId="77777777" w:rsidTr="303CE17D">
        <w:trPr>
          <w:trHeight w:val="291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6D4A4F87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56D9D1D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dionika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7D54551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Uloga dionika u projektu</w:t>
            </w:r>
          </w:p>
        </w:tc>
      </w:tr>
      <w:tr w:rsidR="00746F6C" w14:paraId="09354174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0DE1126" w14:textId="26B7C6F1" w:rsidR="00746F6C" w:rsidRDefault="417ABC55" w:rsidP="303CE17D">
            <w:pPr>
              <w:spacing w:after="120" w:line="240" w:lineRule="atLeast"/>
              <w:jc w:val="both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6276522D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2448F82" w14:textId="63C53E44" w:rsidR="00746F6C" w:rsidRDefault="452AD20E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2B0FC693" w:rsidRPr="303CE17D">
              <w:rPr>
                <w:rFonts w:ascii="Calibri" w:eastAsia="Calibri" w:hAnsi="Calibri" w:cs="Calibri"/>
                <w:sz w:val="20"/>
                <w:szCs w:val="20"/>
              </w:rPr>
              <w:t>rganizacije koje ulažu financijska sredstva u projekt.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B424A9E" w14:textId="447FF23E" w:rsidR="00746F6C" w:rsidRDefault="7897AD9D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Osiguravaju potrebna financijska sredstva i praćenje napretka projekta kako bi se osiguralo da se financijski ciljevi postižu.</w:t>
            </w:r>
          </w:p>
        </w:tc>
      </w:tr>
      <w:tr w:rsidR="00746F6C" w14:paraId="60C80BA3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B1CBF81" w14:textId="20AD7C21" w:rsidR="00746F6C" w:rsidRDefault="417ABC55" w:rsidP="303CE17D">
            <w:pPr>
              <w:spacing w:after="120" w:line="240" w:lineRule="atLeast"/>
              <w:jc w:val="both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2D3C6F0A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EB92D3" w14:textId="1868F56A" w:rsidR="00746F6C" w:rsidRDefault="65A4FF6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 xml:space="preserve">Profesionalac zadužen za planiranje, </w:t>
            </w:r>
            <w:r w:rsidRPr="303CE1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izvršenje i zatvaranje projekta.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06C9620" w14:textId="6DC41469" w:rsidR="00746F6C" w:rsidRDefault="77650879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Koordinira sve aktivnosti, upravlja timom i komunicira s dionicima kako bi se osiguralo da </w:t>
            </w:r>
            <w:r w:rsidRPr="303CE1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projekt ide po planu.</w:t>
            </w:r>
          </w:p>
        </w:tc>
      </w:tr>
      <w:tr w:rsidR="00746F6C" w14:paraId="28A7E5C8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734707" w14:textId="78D93D5A" w:rsidR="00746F6C" w:rsidRDefault="0D7CD53C" w:rsidP="303CE17D">
            <w:pPr>
              <w:spacing w:after="120" w:line="240" w:lineRule="atLeast"/>
              <w:jc w:val="both"/>
            </w:pPr>
            <w:r w:rsidRPr="303CE17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78C28A" w14:textId="1B6CC3A7" w:rsidR="00746F6C" w:rsidRDefault="47B3491B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Stručnjak za dizajn i planiranje građevinskih objekata.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DCC10A8" w14:textId="6A6ED947" w:rsidR="00746F6C" w:rsidRDefault="7EC634A9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Dizajnira dvoranu i nadgleda izgradnju kako bi se osiguralo da se sve izvodi prema nacrtima.</w:t>
            </w:r>
          </w:p>
        </w:tc>
      </w:tr>
      <w:tr w:rsidR="00746F6C" w14:paraId="3335DE30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2700F3" w14:textId="52805323" w:rsidR="00746F6C" w:rsidRDefault="0D7CD53C" w:rsidP="303CE17D">
            <w:pPr>
              <w:spacing w:after="120" w:line="240" w:lineRule="atLeast"/>
              <w:jc w:val="both"/>
            </w:pPr>
            <w:r w:rsidRPr="303CE17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F5C3535" w14:textId="1D33E197" w:rsidR="00746F6C" w:rsidRDefault="5D689063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Tvrtka koja izvodi glavninu građevinskih radova.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71FE4E" w14:textId="08B0D848" w:rsidR="00746F6C" w:rsidRDefault="1650FCFD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Koordinira s podizvođačima i osigurava kvalitetu izvedbe i poštivanje rokova.</w:t>
            </w:r>
          </w:p>
        </w:tc>
      </w:tr>
      <w:tr w:rsidR="00746F6C" w14:paraId="41A2B070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99A7D6" w14:textId="2C1847C5" w:rsidR="00746F6C" w:rsidRDefault="0D7CD53C" w:rsidP="303CE17D">
            <w:pPr>
              <w:spacing w:after="120" w:line="240" w:lineRule="atLeast"/>
              <w:jc w:val="both"/>
            </w:pPr>
            <w:r w:rsidRPr="303CE17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5C892C4" w14:textId="146DD0DF" w:rsidR="00746F6C" w:rsidRDefault="2A2B1A96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Skupina stručnjaka za marketing koji razvijaju i provode marketing strategije.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AB30A65" w14:textId="2FA3C0AD" w:rsidR="00746F6C" w:rsidRDefault="0119F653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Kreiraju promocijske materijale i upravljaju kampanjama kako bi se povećala vidljivost dvorane i aplikacije.</w:t>
            </w:r>
          </w:p>
        </w:tc>
      </w:tr>
      <w:tr w:rsidR="00746F6C" w14:paraId="290984EC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9579A2C" w14:textId="228261F9" w:rsidR="00746F6C" w:rsidRDefault="0D7CD53C" w:rsidP="303CE17D">
            <w:pPr>
              <w:spacing w:after="120" w:line="240" w:lineRule="atLeast"/>
              <w:jc w:val="both"/>
            </w:pPr>
            <w:r w:rsidRPr="303CE17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0C24986" w14:textId="6E0C9E5D" w:rsidR="00746F6C" w:rsidRDefault="64D5EF59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Programeri i dizajneri koji razvijaju softverske rješenja.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88B74B8" w14:textId="0A4E6FD4" w:rsidR="00746F6C" w:rsidRDefault="3E79476B">
            <w:pPr>
              <w:spacing w:after="120" w:line="240" w:lineRule="atLeast"/>
              <w:jc w:val="both"/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Razvijaju aplikaciju za ulaznice, testiraju je i implementiraju.</w:t>
            </w:r>
          </w:p>
        </w:tc>
      </w:tr>
      <w:tr w:rsidR="00746F6C" w14:paraId="3F15C1A3" w14:textId="77777777" w:rsidTr="303CE17D">
        <w:trPr>
          <w:trHeight w:val="270"/>
        </w:trPr>
        <w:tc>
          <w:tcPr>
            <w:tcW w:w="1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D3D0F8C" w14:textId="6D520880" w:rsidR="00746F6C" w:rsidRDefault="417ABC55" w:rsidP="303CE17D">
            <w:pPr>
              <w:spacing w:after="120" w:line="240" w:lineRule="atLeast"/>
              <w:jc w:val="both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3E092001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47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A8A6871" w14:textId="6B302D79" w:rsidR="00746F6C" w:rsidRDefault="70B65C56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Predstavnici lokalne uprave koji nadgledaju poštivanje propisa i odobravaju dozvole.</w:t>
            </w:r>
          </w:p>
        </w:tc>
        <w:tc>
          <w:tcPr>
            <w:tcW w:w="45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AD59730" w14:textId="3C1E1F14" w:rsidR="00746F6C" w:rsidRDefault="6137495B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Izrađuju i provode regulative, provode inspekcije i odobravaju potrebne dozvole.</w:t>
            </w:r>
          </w:p>
        </w:tc>
      </w:tr>
    </w:tbl>
    <w:p w14:paraId="50068DA7" w14:textId="15FB76AB" w:rsidR="303CE17D" w:rsidRDefault="303CE17D">
      <w:r>
        <w:br w:type="page"/>
      </w:r>
    </w:p>
    <w:p w14:paraId="5C007C39" w14:textId="7F10308E" w:rsidR="00746F6C" w:rsidRDefault="00746F6C" w:rsidP="303CE17D">
      <w:pPr>
        <w:spacing w:before="60" w:after="200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B6DD536" w14:textId="209C494C" w:rsidR="00746F6C" w:rsidRDefault="417ABC55" w:rsidP="303CE17D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color w:val="000000"/>
          <w:sz w:val="27"/>
          <w:szCs w:val="27"/>
        </w:rPr>
      </w:pPr>
      <w:r w:rsidRPr="303CE17D">
        <w:rPr>
          <w:rFonts w:eastAsia="Times New Roman" w:cs="Times New Roman"/>
          <w:b/>
          <w:bCs/>
          <w:color w:val="000000" w:themeColor="text1"/>
        </w:rPr>
        <w:t>3.5</w:t>
      </w:r>
      <w:r w:rsidRPr="303CE17D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t> </w:t>
      </w:r>
      <w:r w:rsidRPr="303CE17D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</w:t>
      </w:r>
      <w:bookmarkStart w:id="11" w:name="_Toc478654706"/>
      <w:r w:rsidRPr="303CE17D">
        <w:rPr>
          <w:rFonts w:eastAsia="Times New Roman" w:cs="Times New Roman"/>
          <w:b/>
          <w:bCs/>
          <w:color w:val="000000" w:themeColor="text1"/>
        </w:rPr>
        <w:t>Isporu</w:t>
      </w:r>
      <w:bookmarkEnd w:id="11"/>
      <w:r w:rsidRPr="303CE17D">
        <w:rPr>
          <w:rFonts w:eastAsia="Times New Roman" w:cs="Times New Roman"/>
          <w:b/>
          <w:bCs/>
          <w:color w:val="000000" w:themeColor="text1"/>
        </w:rPr>
        <w:t>ke</w:t>
      </w:r>
      <w:r w:rsidRPr="303CE17D"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tbl>
      <w:tblPr>
        <w:tblW w:w="9113" w:type="dxa"/>
        <w:tblLayout w:type="fixed"/>
        <w:tblLook w:val="04A0" w:firstRow="1" w:lastRow="0" w:firstColumn="1" w:lastColumn="0" w:noHBand="0" w:noVBand="1"/>
      </w:tblPr>
      <w:tblGrid>
        <w:gridCol w:w="1019"/>
        <w:gridCol w:w="2320"/>
        <w:gridCol w:w="5774"/>
      </w:tblGrid>
      <w:tr w:rsidR="00746F6C" w14:paraId="214A6380" w14:textId="77777777" w:rsidTr="303CE17D">
        <w:trPr>
          <w:trHeight w:val="164"/>
        </w:trPr>
        <w:tc>
          <w:tcPr>
            <w:tcW w:w="10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5F9947F7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23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166AB64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Ime isporuke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16DFC30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isporuke koja se isporučuje</w:t>
            </w:r>
          </w:p>
        </w:tc>
      </w:tr>
      <w:tr w:rsidR="00746F6C" w14:paraId="6CE37AC4" w14:textId="77777777" w:rsidTr="303CE17D">
        <w:trPr>
          <w:trHeight w:val="140"/>
        </w:trPr>
        <w:tc>
          <w:tcPr>
            <w:tcW w:w="10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DD7EB8F" w14:textId="55508918" w:rsidR="00746F6C" w:rsidRDefault="417ABC55" w:rsidP="303CE17D">
            <w:pPr>
              <w:spacing w:after="120" w:line="240" w:lineRule="atLeast"/>
              <w:jc w:val="both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35707F03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1.</w:t>
            </w:r>
          </w:p>
        </w:tc>
        <w:tc>
          <w:tcPr>
            <w:tcW w:w="23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74A06C" w14:textId="5AEC5BE4" w:rsidR="00746F6C" w:rsidRDefault="21086DA9" w:rsidP="303CE17D">
            <w:pPr>
              <w:spacing w:after="120" w:line="240" w:lineRule="atLeas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 xml:space="preserve">Izgrađena </w:t>
            </w:r>
            <w:proofErr w:type="spellStart"/>
            <w:r w:rsidRPr="303CE17D">
              <w:rPr>
                <w:rFonts w:ascii="Calibri" w:eastAsia="Calibri" w:hAnsi="Calibri" w:cs="Calibri"/>
                <w:sz w:val="20"/>
                <w:szCs w:val="20"/>
              </w:rPr>
              <w:t>inline</w:t>
            </w:r>
            <w:proofErr w:type="spellEnd"/>
            <w:r w:rsidRPr="303CE17D">
              <w:rPr>
                <w:rFonts w:ascii="Calibri" w:eastAsia="Calibri" w:hAnsi="Calibri" w:cs="Calibri"/>
                <w:sz w:val="20"/>
                <w:szCs w:val="20"/>
              </w:rPr>
              <w:t xml:space="preserve"> hokej dvorana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83B100C" w14:textId="1EC30120" w:rsidR="00746F6C" w:rsidRDefault="21086DA9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Dvorana s vrhunskom podlogom, tribinama, svlačionicama, LED rasvjetom i multimedijalnim sustavom, spremna za korištenje.</w:t>
            </w:r>
          </w:p>
        </w:tc>
      </w:tr>
      <w:tr w:rsidR="00746F6C" w14:paraId="3512EE9B" w14:textId="77777777" w:rsidTr="303CE17D">
        <w:trPr>
          <w:trHeight w:val="140"/>
        </w:trPr>
        <w:tc>
          <w:tcPr>
            <w:tcW w:w="10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DE9AC4F" w14:textId="7B60EE6D" w:rsidR="00746F6C" w:rsidRDefault="417ABC5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4C54B64E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2.</w:t>
            </w:r>
          </w:p>
        </w:tc>
        <w:tc>
          <w:tcPr>
            <w:tcW w:w="23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8843D53" w14:textId="70AF2310" w:rsidR="00746F6C" w:rsidRDefault="45A71D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Funkcionalna digitalna platforma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D6AED71" w14:textId="06D417E8" w:rsidR="00746F6C" w:rsidRDefault="044F2D59" w:rsidP="303CE17D">
            <w:pPr>
              <w:spacing w:after="120" w:line="240" w:lineRule="atLeast"/>
              <w:jc w:val="both"/>
              <w:rPr>
                <w:rFonts w:ascii="Calibri" w:eastAsia="Calibri" w:hAnsi="Calibri" w:cs="Calibri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Aplikacija za rezervaciju termina i praćenje statistika koja je operativna i dostupna korisnicima.</w:t>
            </w:r>
          </w:p>
          <w:p w14:paraId="44315EE9" w14:textId="15BA66C4" w:rsidR="00746F6C" w:rsidRDefault="00746F6C" w:rsidP="303CE17D">
            <w:pPr>
              <w:pStyle w:val="ListParagraph"/>
              <w:spacing w:after="120" w:line="240" w:lineRule="atLeast"/>
              <w:jc w:val="both"/>
            </w:pPr>
          </w:p>
        </w:tc>
      </w:tr>
      <w:tr w:rsidR="00746F6C" w14:paraId="2B2BE73B" w14:textId="77777777" w:rsidTr="303CE17D">
        <w:trPr>
          <w:trHeight w:val="140"/>
        </w:trPr>
        <w:tc>
          <w:tcPr>
            <w:tcW w:w="10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258819B" w14:textId="5039852A" w:rsidR="00746F6C" w:rsidRDefault="417ABC5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  <w:r w:rsidR="66F56B53" w:rsidRPr="303CE17D"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3.</w:t>
            </w:r>
          </w:p>
        </w:tc>
        <w:tc>
          <w:tcPr>
            <w:tcW w:w="232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870F439" w14:textId="48187826" w:rsidR="00746F6C" w:rsidRDefault="41C51EB3" w:rsidP="303CE17D">
            <w:pPr>
              <w:spacing w:after="120"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303CE17D">
              <w:rPr>
                <w:rFonts w:eastAsiaTheme="minorEastAsia"/>
                <w:sz w:val="20"/>
                <w:szCs w:val="20"/>
              </w:rPr>
              <w:t>Organizacija prvog međunarodnog turnira</w:t>
            </w:r>
          </w:p>
        </w:tc>
        <w:tc>
          <w:tcPr>
            <w:tcW w:w="577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9740F50" w14:textId="2858AAEA" w:rsidR="00746F6C" w:rsidRDefault="6BB51A9D" w:rsidP="303CE17D">
            <w:pPr>
              <w:spacing w:after="120" w:line="240" w:lineRule="atLeast"/>
              <w:jc w:val="both"/>
              <w:rPr>
                <w:rFonts w:ascii="Calibri" w:eastAsia="Calibri" w:hAnsi="Calibri" w:cs="Calibri"/>
              </w:rPr>
            </w:pPr>
            <w:r w:rsidRPr="303CE17D">
              <w:rPr>
                <w:rFonts w:ascii="Calibri" w:eastAsia="Calibri" w:hAnsi="Calibri" w:cs="Calibri"/>
                <w:sz w:val="20"/>
                <w:szCs w:val="20"/>
              </w:rPr>
              <w:t>Uspješno održan međunarodni turnir s minimalno 8 sudionika i 1.000 gledatelja, kao promotivni događaj za novu dvoranu.</w:t>
            </w:r>
          </w:p>
          <w:p w14:paraId="7055EB2C" w14:textId="29875D94" w:rsidR="00746F6C" w:rsidRDefault="00746F6C" w:rsidP="303CE17D">
            <w:pPr>
              <w:spacing w:after="120" w:line="240" w:lineRule="atLeast"/>
              <w:jc w:val="both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454B85F1" w14:textId="54586351" w:rsidR="00746F6C" w:rsidRDefault="417ABC55" w:rsidP="303CE17D">
      <w:pPr>
        <w:spacing w:before="120" w:after="120"/>
        <w:jc w:val="both"/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</w:pPr>
      <w:r w:rsidRPr="303CE17D">
        <w:rPr>
          <w:rFonts w:eastAsia="Times New Roman" w:cs="Times New Roman"/>
          <w:b/>
          <w:bCs/>
          <w:color w:val="000000" w:themeColor="text1"/>
        </w:rPr>
        <w:t>3.6</w:t>
      </w:r>
      <w:r w:rsidRPr="303CE17D">
        <w:rPr>
          <w:rFonts w:ascii="Times" w:eastAsia="Times New Roman" w:hAnsi="Times" w:cs="Times New Roman"/>
          <w:b/>
          <w:bCs/>
          <w:color w:val="000000" w:themeColor="text1"/>
          <w:sz w:val="36"/>
          <w:szCs w:val="36"/>
        </w:rPr>
        <w:t> </w:t>
      </w:r>
      <w:r w:rsidRPr="303CE17D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 </w:t>
      </w:r>
      <w:bookmarkStart w:id="12" w:name="_Toc478654708"/>
      <w:r w:rsidRPr="303CE17D">
        <w:rPr>
          <w:rFonts w:eastAsia="Times New Roman" w:cs="Times New Roman"/>
          <w:b/>
          <w:bCs/>
          <w:color w:val="000000" w:themeColor="text1"/>
        </w:rPr>
        <w:t>Ograničenja</w:t>
      </w:r>
      <w:bookmarkEnd w:id="12"/>
    </w:p>
    <w:p w14:paraId="4E8719A9" w14:textId="660BBFE5" w:rsidR="00746F6C" w:rsidRDefault="13448418" w:rsidP="303CE17D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Proračun:</w:t>
      </w:r>
      <w:r w:rsidRPr="303CE17D">
        <w:rPr>
          <w:rFonts w:ascii="Calibri" w:eastAsia="Calibri" w:hAnsi="Calibri" w:cs="Calibri"/>
          <w:sz w:val="20"/>
          <w:szCs w:val="20"/>
        </w:rPr>
        <w:t xml:space="preserve"> Ukupni budžet od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>100 milijuna eura</w:t>
      </w:r>
      <w:r w:rsidRPr="303CE17D">
        <w:rPr>
          <w:rFonts w:ascii="Calibri" w:eastAsia="Calibri" w:hAnsi="Calibri" w:cs="Calibri"/>
          <w:sz w:val="20"/>
          <w:szCs w:val="20"/>
        </w:rPr>
        <w:t xml:space="preserve"> mora pokriti sve faze projekta bez prekoračenja.</w:t>
      </w:r>
    </w:p>
    <w:p w14:paraId="159551AE" w14:textId="79F6ABE0" w:rsidR="00746F6C" w:rsidRDefault="13448418" w:rsidP="303CE17D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Rokovi:</w:t>
      </w:r>
      <w:r w:rsidRPr="303CE17D">
        <w:rPr>
          <w:rFonts w:ascii="Calibri" w:eastAsia="Calibri" w:hAnsi="Calibri" w:cs="Calibri"/>
          <w:sz w:val="20"/>
          <w:szCs w:val="20"/>
        </w:rPr>
        <w:t xml:space="preserve"> Projekt traje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>18 mjeseci</w:t>
      </w:r>
      <w:r w:rsidRPr="303CE17D">
        <w:rPr>
          <w:rFonts w:ascii="Calibri" w:eastAsia="Calibri" w:hAnsi="Calibri" w:cs="Calibri"/>
          <w:sz w:val="20"/>
          <w:szCs w:val="20"/>
        </w:rPr>
        <w:t>, a kašnjenja u građevinskim radovima ili nabavi mogu utjecati na završetak.</w:t>
      </w:r>
    </w:p>
    <w:p w14:paraId="7CB34FF1" w14:textId="05C46BCC" w:rsidR="00746F6C" w:rsidRDefault="13448418" w:rsidP="303CE17D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Resursi:</w:t>
      </w:r>
      <w:r w:rsidRPr="303CE17D">
        <w:rPr>
          <w:rFonts w:ascii="Calibri" w:eastAsia="Calibri" w:hAnsi="Calibri" w:cs="Calibri"/>
          <w:sz w:val="20"/>
          <w:szCs w:val="20"/>
        </w:rPr>
        <w:t xml:space="preserve"> Ograničen broj stručnjaka, ovisnost o dobavljačima i kompatibilnost aplikacije s postojećim sustavima.</w:t>
      </w:r>
    </w:p>
    <w:p w14:paraId="6EC3210F" w14:textId="352906C4" w:rsidR="00746F6C" w:rsidRDefault="13448418" w:rsidP="303CE17D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Regulativa:</w:t>
      </w:r>
      <w:r w:rsidRPr="303CE17D">
        <w:rPr>
          <w:rFonts w:ascii="Calibri" w:eastAsia="Calibri" w:hAnsi="Calibri" w:cs="Calibri"/>
          <w:sz w:val="20"/>
          <w:szCs w:val="20"/>
        </w:rPr>
        <w:t xml:space="preserve"> Projekt mora biti usklađen s građevinskim propisima, sigurnosnim standardima i </w:t>
      </w:r>
      <w:r w:rsidRPr="303CE17D">
        <w:rPr>
          <w:rFonts w:ascii="Calibri" w:eastAsia="Calibri" w:hAnsi="Calibri" w:cs="Calibri"/>
          <w:b/>
          <w:bCs/>
          <w:sz w:val="20"/>
          <w:szCs w:val="20"/>
        </w:rPr>
        <w:t>GDPR-om</w:t>
      </w:r>
      <w:r w:rsidRPr="303CE17D">
        <w:rPr>
          <w:rFonts w:ascii="Calibri" w:eastAsia="Calibri" w:hAnsi="Calibri" w:cs="Calibri"/>
          <w:sz w:val="20"/>
          <w:szCs w:val="20"/>
        </w:rPr>
        <w:t>.</w:t>
      </w:r>
    </w:p>
    <w:p w14:paraId="27A686AD" w14:textId="41D4E773" w:rsidR="00746F6C" w:rsidRDefault="13448418" w:rsidP="303CE17D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303CE17D">
        <w:rPr>
          <w:rFonts w:ascii="Calibri" w:eastAsia="Calibri" w:hAnsi="Calibri" w:cs="Calibri"/>
          <w:b/>
          <w:bCs/>
          <w:sz w:val="20"/>
          <w:szCs w:val="20"/>
        </w:rPr>
        <w:t>Sigurnost i zaštita podataka:</w:t>
      </w:r>
      <w:r w:rsidRPr="303CE17D">
        <w:rPr>
          <w:rFonts w:ascii="Calibri" w:eastAsia="Calibri" w:hAnsi="Calibri" w:cs="Calibri"/>
          <w:sz w:val="20"/>
          <w:szCs w:val="20"/>
        </w:rPr>
        <w:t xml:space="preserve"> Potrebna enkripcija korisničkih podataka i poštivanje sigurnosnih protokola u dvorani</w:t>
      </w:r>
      <w:r w:rsidRPr="303CE17D"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3A8965DA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3.7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3" w:name="_Toc478654709"/>
      <w:r>
        <w:rPr>
          <w:rFonts w:eastAsia="Times New Roman" w:cs="Times New Roman"/>
          <w:b/>
          <w:bCs/>
          <w:color w:val="000000"/>
        </w:rPr>
        <w:t>Pretpostavke</w:t>
      </w:r>
      <w:bookmarkEnd w:id="13"/>
    </w:p>
    <w:p w14:paraId="44152F37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dio treba opisati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svaku projektnu pretpostavku vezanu za poslovanje, tehnologiju, resurse, organizacijsku okolinu, opseg, očekivanja ili rasporede.</w:t>
      </w:r>
    </w:p>
    <w:p w14:paraId="7BC134B5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U ovoj fazi pretpostavke se smatraju činjenicama (istinitim);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međutim,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potrebno je dodatno potvrditi kako bi bili sigurni da su doista činjenice.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Imajte na umu da pretpostavke koje nisu potvrđene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mogu postati rizici.&gt;</w:t>
      </w:r>
    </w:p>
    <w:p w14:paraId="3E0FFAE4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Pretpostavka 1. – </w:t>
      </w:r>
    </w:p>
    <w:p w14:paraId="0618CF54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0D67C79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2. –</w:t>
      </w:r>
    </w:p>
    <w:p w14:paraId="3F71CEDA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C195113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3. –</w:t>
      </w:r>
    </w:p>
    <w:p w14:paraId="4247F69B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5DCC74B2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4. –</w:t>
      </w:r>
    </w:p>
    <w:p w14:paraId="07A5A915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79544AFD" w14:textId="77777777" w:rsidR="00746F6C" w:rsidRDefault="007154DF">
      <w:pPr>
        <w:spacing w:before="120"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5. –</w:t>
      </w:r>
    </w:p>
    <w:p w14:paraId="31CDCD3D" w14:textId="77777777" w:rsidR="00746F6C" w:rsidRDefault="00746F6C">
      <w:pPr>
        <w:spacing w:before="120"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F476444" w14:textId="77777777" w:rsidR="00746F6C" w:rsidRDefault="00746F6C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0DE6D01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3.8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4" w:name="_Toc478654710"/>
      <w:r>
        <w:rPr>
          <w:rFonts w:eastAsia="Times New Roman" w:cs="Times New Roman"/>
          <w:b/>
          <w:bCs/>
          <w:color w:val="000000"/>
        </w:rPr>
        <w:t>Rizici</w:t>
      </w:r>
      <w:bookmarkEnd w:id="14"/>
    </w:p>
    <w:p w14:paraId="60089335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lastRenderedPageBreak/>
        <w:t>&lt;Ovaj odjeljak treba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istaknuti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ključne rizike projekta koji su identificirani u ovoj početnoj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fazi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prijedloge odgovarajuće strategije upravljanja rizicima.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Ova početna procjena rizika ne zamjenjuje cjelokupnu procjenu rizika koja se provodi tijekom faze planiranja.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Možete se uputiti na Registar rizika projekta za potpuni popis i opis rizika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odgovarajućih akcija -</w:t>
      </w:r>
      <w:r>
        <w:rPr>
          <w:rFonts w:eastAsia="Times New Roman" w:cs="Times New Roman"/>
          <w:i/>
          <w:iCs/>
          <w:color w:val="984806"/>
          <w:sz w:val="20"/>
          <w:szCs w:val="20"/>
        </w:rPr>
        <w:t>osigurati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984806"/>
          <w:sz w:val="20"/>
          <w:szCs w:val="20"/>
        </w:rPr>
        <w:t>vezu na Registar rizika projekta</w:t>
      </w:r>
      <w:r>
        <w:rPr>
          <w:rFonts w:ascii="Times" w:eastAsia="Times New Roman" w:hAnsi="Times" w:cs="Times New Roman"/>
          <w:color w:val="000000"/>
        </w:rPr>
        <w:t>.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&gt;</w:t>
      </w: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771"/>
        <w:gridCol w:w="1059"/>
        <w:gridCol w:w="1370"/>
        <w:gridCol w:w="970"/>
        <w:gridCol w:w="934"/>
        <w:gridCol w:w="1213"/>
        <w:gridCol w:w="1331"/>
        <w:gridCol w:w="1416"/>
      </w:tblGrid>
      <w:tr w:rsidR="00746F6C" w14:paraId="4C6AACAC" w14:textId="77777777">
        <w:trPr>
          <w:trHeight w:val="1030"/>
          <w:tblHeader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4043BE9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717B2372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Opis i pojedinosti o riziku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1C0BC966" w14:textId="77777777" w:rsidR="00746F6C" w:rsidRDefault="007154D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Vjerojatnost</w:t>
            </w:r>
          </w:p>
          <w:p w14:paraId="0B3A00A3" w14:textId="77777777" w:rsidR="00746F6C" w:rsidRDefault="00746F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_ftnref1"/>
            <w:bookmarkEnd w:id="15"/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B3711A1" w14:textId="77777777" w:rsidR="00746F6C" w:rsidRDefault="007154D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Utjecaj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1AAC31F8" w14:textId="77777777" w:rsidR="00746F6C" w:rsidRDefault="007154D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Razina rizik</w:t>
            </w:r>
            <w:bookmarkStart w:id="16" w:name="_ftnref3"/>
            <w:bookmarkEnd w:id="16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5B05C0D2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Vlasnik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rizika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06C32E4E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Strategija odgovora na riz</w:t>
            </w:r>
            <w:bookmarkStart w:id="17" w:name="_ftnref4"/>
            <w:bookmarkEnd w:id="17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ik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08D41D0A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Detalji poduzete radnje</w:t>
            </w:r>
          </w:p>
        </w:tc>
      </w:tr>
      <w:tr w:rsidR="00746F6C" w14:paraId="6FE31BC8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6F2A7C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BDB56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E43E6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9D78B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0ED447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2670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67837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A17E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1C23EF83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ADA9F6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5E2831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38DA4F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1BE1F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B79AD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BBFE1A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0FF6AC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770C69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22D7C109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A8467D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A4F15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CB7ED5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D7E4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716B63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1A4C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8A809D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74F494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7E257D1F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154611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2DE52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BDB18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FB0F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53E1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6CA977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AE0649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33E00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61383DBA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3E0AA4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B238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DAAF6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94617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B80E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DB92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4B15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44E60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2246CD7A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4FD75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9C592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1428D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6FC8DA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919A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9057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B26C4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F0004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F8A0B16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59192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E561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6AB31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643173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C9CAF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7B41F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D6B7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31189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06F68294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832D8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2358D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1512A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79F1A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39659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FB59B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AD0DE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C3E8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938F663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C2595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3A995A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9CB76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9F6FC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90973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6C67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F9A69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79C2F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714BD25B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511572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09C5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9AA7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BD654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E4458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4BAD2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3F511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7C77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4D1DAD5" w14:textId="77777777" w:rsidR="00746F6C" w:rsidRDefault="007154DF">
      <w:pPr>
        <w:spacing w:before="240"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4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18" w:name="_Toc478654711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Trošak, vrijeme i resursi</w:t>
      </w:r>
      <w:bookmarkEnd w:id="18"/>
    </w:p>
    <w:p w14:paraId="01C4D4E8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4.1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Trošak</w:t>
      </w:r>
    </w:p>
    <w:p w14:paraId="77286C3E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opisati strukturu financiranja: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Troškovi,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proračunske linije,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rad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iznosi.</w:t>
      </w:r>
    </w:p>
    <w:p w14:paraId="64CD8DEB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Navesti i sažetak prethodnih ulaganja u ovom. Dodati retke prema potrebi projekta</w:t>
      </w:r>
      <w:r>
        <w:rPr>
          <w:rFonts w:eastAsia="Times New Roman" w:cs="Times New Roman"/>
          <w:i/>
          <w:iCs/>
          <w:color w:val="0070C0"/>
          <w:sz w:val="20"/>
          <w:szCs w:val="20"/>
          <w:u w:val="single"/>
        </w:rPr>
        <w:t>&gt;</w:t>
      </w:r>
    </w:p>
    <w:p w14:paraId="3CCA69D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 </w:t>
      </w:r>
    </w:p>
    <w:tbl>
      <w:tblPr>
        <w:tblW w:w="9310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5909"/>
        <w:gridCol w:w="3401"/>
      </w:tblGrid>
      <w:tr w:rsidR="00746F6C" w14:paraId="1DCF3D22" w14:textId="77777777">
        <w:trPr>
          <w:trHeight w:val="734"/>
          <w:tblHeader/>
        </w:trPr>
        <w:tc>
          <w:tcPr>
            <w:tcW w:w="9309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3C4AD4B7" w14:textId="77777777" w:rsidR="00746F6C" w:rsidRDefault="007154D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Proračun / Budžet</w:t>
            </w:r>
          </w:p>
        </w:tc>
      </w:tr>
      <w:tr w:rsidR="00746F6C" w14:paraId="32689B84" w14:textId="77777777">
        <w:trPr>
          <w:trHeight w:val="814"/>
          <w:tblHeader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32691439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0439A481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Iznos</w:t>
            </w:r>
            <w:bookmarkStart w:id="19" w:name="_ftnref5"/>
            <w:bookmarkEnd w:id="19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(EUR)</w:t>
            </w:r>
          </w:p>
        </w:tc>
      </w:tr>
      <w:tr w:rsidR="00746F6C" w14:paraId="57C9CF11" w14:textId="77777777">
        <w:trPr>
          <w:trHeight w:val="903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22E8B2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Razvoj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rješenja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045FB6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5A5FBB1E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419B1AA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Održavanje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rješenja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8C1B594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38DDDA21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9A4B4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Podrška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460941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041B7396" w14:textId="77777777">
        <w:trPr>
          <w:trHeight w:val="734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0603D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Trening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CD7558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0D5C8ACA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C2DE0F7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Infrastruktura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71C224B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79B61693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32451E4E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Ukupno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20A875A6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598D0B39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1B6FB5"/>
          <w:sz w:val="20"/>
          <w:szCs w:val="20"/>
        </w:rPr>
        <w:t> </w:t>
      </w:r>
      <w:r>
        <w:rPr>
          <w:rFonts w:eastAsia="Times New Roman" w:cs="Times New Roman"/>
          <w:i/>
          <w:iCs/>
          <w:noProof/>
          <w:color w:val="1B6FB5"/>
          <w:sz w:val="20"/>
          <w:szCs w:val="20"/>
        </w:rPr>
        <mc:AlternateContent>
          <mc:Choice Requires="wps">
            <w:drawing>
              <wp:inline distT="0" distB="0" distL="0" distR="0" wp14:anchorId="741F3E19" wp14:editId="6D9E30AD">
                <wp:extent cx="3491865" cy="497205"/>
                <wp:effectExtent l="0" t="0" r="0" b="0"/>
                <wp:docPr id="3" name="Rectangle 1" descr="https://translate.googleusercontent.com/image_0.p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49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9C7A9DA" id="Rectangle 1" o:spid="_x0000_s1026" alt="https://translate.googleusercontent.com/image_0.png" style="width:274.95pt;height:3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" filled="f" stroked="f" strokeweight="0">
                <w10:anchorlock/>
              </v:rect>
            </w:pict>
          </mc:Fallback>
        </mc:AlternateContent>
      </w:r>
    </w:p>
    <w:p w14:paraId="12F47349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4.2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0" w:name="_Toc478654713"/>
      <w:bookmarkStart w:id="21" w:name="_Toc199919384"/>
      <w:bookmarkEnd w:id="20"/>
      <w:r>
        <w:rPr>
          <w:rFonts w:eastAsia="Times New Roman" w:cs="Times New Roman"/>
          <w:b/>
          <w:bCs/>
          <w:color w:val="000000"/>
        </w:rPr>
        <w:t xml:space="preserve">Vremenski raspored i </w:t>
      </w:r>
      <w:bookmarkEnd w:id="21"/>
      <w:r>
        <w:rPr>
          <w:rFonts w:eastAsia="Times New Roman" w:cs="Times New Roman"/>
          <w:b/>
          <w:bCs/>
          <w:color w:val="000000"/>
        </w:rPr>
        <w:t>miljokazi</w:t>
      </w:r>
    </w:p>
    <w:p w14:paraId="46F7685F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navesti važne projektne točke u vrijeme životnog ciklusa projekta (tj. miljokaze) za događaje ili isporuke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Popis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može sadržavati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naznaku u vezi očekivanim vremenom trajanja glavnih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faza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(npr. sat trajanja svake faze -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pokretanje, planiranje, izvršavanje, zatvaranja), kao i projekta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upravljanja projektima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(npr. Projektni plan rada i datum kada se očekuje da će biti dovršen).&gt;</w:t>
      </w:r>
    </w:p>
    <w:tbl>
      <w:tblPr>
        <w:tblW w:w="904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21"/>
        <w:gridCol w:w="6003"/>
        <w:gridCol w:w="2218"/>
      </w:tblGrid>
      <w:tr w:rsidR="00746F6C" w14:paraId="7BC1D00A" w14:textId="77777777">
        <w:trPr>
          <w:trHeight w:val="410"/>
          <w:tblHeader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C6BEED6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3B657EA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miljokaza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557937C" w14:textId="77777777" w:rsidR="00746F6C" w:rsidRDefault="007154DF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Ciljani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datum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isporuke</w:t>
            </w:r>
          </w:p>
        </w:tc>
      </w:tr>
      <w:tr w:rsidR="00746F6C" w14:paraId="1780A33E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570139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M1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D6CFA3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Početak projekta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E85138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6F6C" w14:paraId="3C06CBF5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034975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M2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25CF5E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911606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6F6C" w14:paraId="6448CE5B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CB3F6E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D5F7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541F7E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0BDF8E3E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2171FE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M4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1EFD8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F21A1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54AA475C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0A89B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31121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9080C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735F1342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807D2C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4ED847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CBE6B8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1B2F519A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B2D4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MX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433F6A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Kraj projekta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E49B8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15A4655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AAC4D8B" w14:textId="77777777" w:rsidR="00746F6C" w:rsidRDefault="00746F6C" w:rsidP="007154DF">
      <w:pPr>
        <w:spacing w:before="60" w:after="200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F278DB6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4.3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2" w:name="_Toc478654714"/>
      <w:r>
        <w:rPr>
          <w:rFonts w:eastAsia="Times New Roman" w:cs="Times New Roman"/>
          <w:b/>
          <w:bCs/>
          <w:color w:val="000000"/>
        </w:rPr>
        <w:t>Planirani resursi</w:t>
      </w:r>
      <w:bookmarkEnd w:id="22"/>
    </w:p>
    <w:p w14:paraId="1B744C2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dio treba opisati potrebe za resursima u projektu.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Sažmite ovdje brojeve i vrstu potrebnog osoblja, uključujući sve posebne vještine ili iskustvo, potrebne u pojedinoj fazi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Opišite kako ćete pristupiti pronalaženju i stjecanju resursa potrebnih za projekt: osoblje i opremu.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Uključite sve resurse potrebne za izvršavanje projekta u svim skupinama korisnika / dionika, uključujući resurse potrebne u drugim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organizacijama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/ ili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vanjskih dionika (ako ih ima).</w:t>
      </w:r>
    </w:p>
    <w:p w14:paraId="5799F6CA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Za ne-ljudske resurse kao što su uredski prostor, posebni objekti, računalna oprema, uredska oprema i alati za podršku, također možete odrediti koja je uloga odgovorna za pružanje određenih stavki.</w:t>
      </w:r>
    </w:p>
    <w:p w14:paraId="489D8AEF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tbl>
      <w:tblPr>
        <w:tblW w:w="910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4143"/>
      </w:tblGrid>
      <w:tr w:rsidR="00746F6C" w14:paraId="1EE36DD6" w14:textId="77777777">
        <w:trPr>
          <w:trHeight w:val="210"/>
          <w:tblHeader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5EE7CDB6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CBA59E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Zahtijevani resursi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89D8AD3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/ uloga resursa</w:t>
            </w:r>
          </w:p>
        </w:tc>
      </w:tr>
      <w:tr w:rsidR="00746F6C" w14:paraId="5B98B9A4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97287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AB58F8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80F736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25103E2A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6BF6B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BA227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CA2592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A1FCE4C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2D88DA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E80AD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5508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63667E81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9FF5D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06971B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DFDE77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1FCB3B86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0FFDB1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845F8A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52351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1BCB250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B755CD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63764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BE9090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1508513D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11844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0C49C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76EA53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416B4EC4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2157E4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35B1A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ED15D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477BF7EC" w14:textId="77777777">
        <w:trPr>
          <w:trHeight w:val="210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B98C7E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4FAF12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FBEB3A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1116935F" w14:textId="77777777" w:rsidR="00746F6C" w:rsidRDefault="007154DF">
      <w:pPr>
        <w:rPr>
          <w:rFonts w:ascii="Calibri" w:eastAsia="Times New Roman" w:hAnsi="Calibri" w:cs="Times New Roman"/>
          <w:b/>
          <w:bCs/>
          <w:smallCaps/>
          <w:color w:val="000000"/>
          <w:kern w:val="2"/>
          <w:sz w:val="28"/>
          <w:szCs w:val="28"/>
        </w:rPr>
      </w:pPr>
      <w:r>
        <w:br w:type="page"/>
      </w:r>
    </w:p>
    <w:p w14:paraId="2A206B12" w14:textId="77777777" w:rsidR="00746F6C" w:rsidRDefault="007154DF">
      <w:pPr>
        <w:spacing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5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23" w:name="_Toc478654721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Upravljanje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i dionici</w:t>
      </w:r>
      <w:bookmarkEnd w:id="23"/>
    </w:p>
    <w:p w14:paraId="38B856EC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2EB7D38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bookmarkStart w:id="24" w:name="_Toc478654722"/>
      <w:r>
        <w:rPr>
          <w:rFonts w:eastAsia="Times New Roman" w:cs="Times New Roman"/>
          <w:b/>
          <w:bCs/>
          <w:color w:val="000000"/>
        </w:rPr>
        <w:t xml:space="preserve">5.1 </w:t>
      </w:r>
      <w:r>
        <w:rPr>
          <w:rFonts w:eastAsia="Times New Roman" w:cs="Times New Roman"/>
          <w:b/>
          <w:bCs/>
          <w:color w:val="000000"/>
        </w:rPr>
        <w:tab/>
        <w:t>Organizacijska struktura</w:t>
      </w:r>
      <w:bookmarkEnd w:id="24"/>
      <w:r>
        <w:rPr>
          <w:rFonts w:eastAsia="Times New Roman" w:cs="Times New Roman"/>
          <w:b/>
          <w:bCs/>
          <w:color w:val="000000"/>
        </w:rPr>
        <w:t xml:space="preserve"> projekta, uloge i odgovornosti u projektu</w:t>
      </w:r>
    </w:p>
    <w:p w14:paraId="6F2F8CE1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opisati organizacijsku strukturu projektnog tima i dionika, po mogućnosti pružiti grafički prikaz.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Molimo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također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pogledajte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(ili se jednostavno pozovite na)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13"/>
          <w:szCs w:val="13"/>
          <w:vertAlign w:val="superscript"/>
        </w:rPr>
        <w:t>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Metodologiju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koja, primjerice, definira i opisuje članove i odgovornosti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Upravnog odbora projekta (UOP) (tj. Vlasnika projekta (PO), Poslovnog voditelja (BM), Pružatelja rješenja (SP), Voditelj projekta (PM)).&gt;</w:t>
      </w:r>
    </w:p>
    <w:p w14:paraId="0E3C9525" w14:textId="77777777" w:rsidR="00746F6C" w:rsidRDefault="00746F6C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532543A" w14:textId="77777777" w:rsidR="00746F6C" w:rsidRDefault="00746F6C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36D62038" w14:textId="77777777" w:rsidR="00746F6C" w:rsidRDefault="007154DF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</w:p>
    <w:sectPr w:rsidR="00746F6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8944" w14:textId="77777777" w:rsidR="007154DF" w:rsidRDefault="007154DF">
      <w:r>
        <w:separator/>
      </w:r>
    </w:p>
  </w:endnote>
  <w:endnote w:type="continuationSeparator" w:id="0">
    <w:p w14:paraId="25B7B509" w14:textId="77777777" w:rsidR="007154DF" w:rsidRDefault="0071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03FB" w14:textId="77777777" w:rsidR="00746F6C" w:rsidRDefault="0074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31DC" w14:textId="5A50DAA8" w:rsidR="00746F6C" w:rsidRDefault="303CE17D">
    <w:pPr>
      <w:pStyle w:val="FooterLine"/>
      <w:tabs>
        <w:tab w:val="left" w:pos="4111"/>
        <w:tab w:val="left" w:pos="4253"/>
      </w:tabs>
      <w:rPr>
        <w:rFonts w:ascii="Calibri" w:hAnsi="Calibri"/>
        <w:lang w:val="fr-BE"/>
      </w:rPr>
    </w:pPr>
    <w:proofErr w:type="spellStart"/>
    <w:proofErr w:type="gramStart"/>
    <w:r w:rsidRPr="303CE17D">
      <w:rPr>
        <w:rFonts w:asciiTheme="minorHAnsi" w:hAnsiTheme="minorHAnsi" w:cstheme="minorBidi"/>
        <w:color w:val="000000" w:themeColor="text1"/>
        <w:lang w:val="fr-BE"/>
      </w:rPr>
      <w:t>Datum</w:t>
    </w:r>
    <w:proofErr w:type="spellEnd"/>
    <w:r w:rsidRPr="303CE17D">
      <w:rPr>
        <w:rFonts w:asciiTheme="minorHAnsi" w:hAnsiTheme="minorHAnsi" w:cstheme="minorBidi"/>
        <w:color w:val="000000" w:themeColor="text1"/>
        <w:lang w:val="fr-BE"/>
      </w:rPr>
      <w:t>:</w:t>
    </w:r>
    <w:proofErr w:type="gramEnd"/>
    <w:r w:rsidRPr="303CE17D">
      <w:rPr>
        <w:rFonts w:asciiTheme="minorHAnsi" w:hAnsiTheme="minorHAnsi" w:cstheme="minorBidi"/>
        <w:color w:val="000000" w:themeColor="text1"/>
        <w:lang w:val="fr-BE"/>
      </w:rPr>
      <w:t xml:space="preserve"> </w:t>
    </w:r>
    <w:r w:rsidRPr="303CE17D">
      <w:rPr>
        <w:rFonts w:asciiTheme="minorHAnsi" w:hAnsiTheme="minorHAnsi" w:cstheme="minorBidi"/>
        <w:color w:val="385623" w:themeColor="accent6" w:themeShade="80"/>
        <w:lang w:val="fr-BE"/>
      </w:rPr>
      <w:t>&lt;19.3.2025&gt;</w:t>
    </w:r>
    <w:r w:rsidRPr="303CE17D">
      <w:rPr>
        <w:rFonts w:asciiTheme="minorHAnsi" w:hAnsiTheme="minorHAnsi" w:cstheme="minorBidi"/>
        <w:color w:val="000000" w:themeColor="text1"/>
        <w:lang w:val="fr-BE"/>
      </w:rPr>
      <w:t xml:space="preserve">                                                                                          </w:t>
    </w:r>
    <w:r w:rsidR="007154DF" w:rsidRPr="303CE17D">
      <w:rPr>
        <w:rStyle w:val="PageNumber"/>
        <w:rFonts w:ascii="Calibri" w:hAnsi="Calibri"/>
      </w:rPr>
      <w:fldChar w:fldCharType="begin"/>
    </w:r>
    <w:r w:rsidR="007154DF" w:rsidRPr="303CE17D">
      <w:rPr>
        <w:rStyle w:val="PageNumber"/>
        <w:rFonts w:ascii="Calibri" w:hAnsi="Calibri"/>
      </w:rPr>
      <w:instrText xml:space="preserve"> PAGE </w:instrText>
    </w:r>
    <w:r w:rsidR="007154DF" w:rsidRPr="303CE17D">
      <w:rPr>
        <w:rStyle w:val="PageNumber"/>
        <w:rFonts w:ascii="Calibri" w:hAnsi="Calibri"/>
      </w:rPr>
      <w:fldChar w:fldCharType="separate"/>
    </w:r>
    <w:r w:rsidRPr="303CE17D">
      <w:rPr>
        <w:rStyle w:val="PageNumber"/>
        <w:rFonts w:ascii="Calibri" w:hAnsi="Calibri"/>
      </w:rPr>
      <w:t>13</w:t>
    </w:r>
    <w:r w:rsidR="007154DF" w:rsidRPr="303CE17D">
      <w:rPr>
        <w:rStyle w:val="PageNumber"/>
        <w:rFonts w:ascii="Calibri" w:hAnsi="Calibri"/>
      </w:rPr>
      <w:fldChar w:fldCharType="end"/>
    </w:r>
    <w:r w:rsidRPr="303CE17D">
      <w:rPr>
        <w:rStyle w:val="PageNumber"/>
        <w:rFonts w:ascii="Calibri" w:hAnsi="Calibri"/>
        <w:lang w:val="fr-BE"/>
      </w:rPr>
      <w:t xml:space="preserve"> / </w:t>
    </w:r>
    <w:r w:rsidR="007154DF" w:rsidRPr="303CE17D">
      <w:rPr>
        <w:rStyle w:val="PageNumber"/>
        <w:rFonts w:ascii="Calibri" w:hAnsi="Calibri"/>
      </w:rPr>
      <w:fldChar w:fldCharType="begin"/>
    </w:r>
    <w:r w:rsidR="007154DF" w:rsidRPr="303CE17D">
      <w:rPr>
        <w:rStyle w:val="PageNumber"/>
        <w:rFonts w:ascii="Calibri" w:hAnsi="Calibri"/>
      </w:rPr>
      <w:instrText xml:space="preserve"> NUMPAGES </w:instrText>
    </w:r>
    <w:r w:rsidR="007154DF" w:rsidRPr="303CE17D">
      <w:rPr>
        <w:rStyle w:val="PageNumber"/>
        <w:rFonts w:ascii="Calibri" w:hAnsi="Calibri"/>
      </w:rPr>
      <w:fldChar w:fldCharType="separate"/>
    </w:r>
    <w:r w:rsidRPr="303CE17D">
      <w:rPr>
        <w:rStyle w:val="PageNumber"/>
        <w:rFonts w:ascii="Calibri" w:hAnsi="Calibri"/>
      </w:rPr>
      <w:t>13</w:t>
    </w:r>
    <w:r w:rsidR="007154DF" w:rsidRPr="303CE17D">
      <w:rPr>
        <w:rStyle w:val="PageNumber"/>
        <w:rFonts w:ascii="Calibri" w:hAnsi="Calibri"/>
      </w:rPr>
      <w:fldChar w:fldCharType="end"/>
    </w:r>
    <w:r w:rsidR="007154DF">
      <w:tab/>
    </w:r>
    <w:r w:rsidRPr="303CE17D">
      <w:rPr>
        <w:rFonts w:asciiTheme="minorHAnsi" w:hAnsiTheme="minorHAnsi" w:cstheme="minorBidi"/>
        <w:color w:val="000000" w:themeColor="text1"/>
        <w:lang w:val="fr-BE"/>
      </w:rPr>
      <w:t xml:space="preserve"> </w:t>
    </w:r>
    <w:proofErr w:type="spellStart"/>
    <w:r w:rsidRPr="303CE17D">
      <w:rPr>
        <w:rFonts w:asciiTheme="minorHAnsi" w:hAnsiTheme="minorHAnsi" w:cstheme="minorBidi"/>
        <w:color w:val="000000" w:themeColor="text1"/>
        <w:lang w:val="fr-BE"/>
      </w:rPr>
      <w:t>Verzija</w:t>
    </w:r>
    <w:proofErr w:type="spellEnd"/>
    <w:r w:rsidRPr="303CE17D">
      <w:rPr>
        <w:rFonts w:asciiTheme="minorHAnsi" w:hAnsiTheme="minorHAnsi" w:cstheme="minorBidi"/>
        <w:color w:val="000000" w:themeColor="text1"/>
        <w:lang w:val="fr-BE"/>
      </w:rPr>
      <w:t xml:space="preserve"> </w:t>
    </w:r>
    <w:proofErr w:type="spellStart"/>
    <w:r w:rsidRPr="303CE17D">
      <w:rPr>
        <w:rFonts w:asciiTheme="minorHAnsi" w:hAnsiTheme="minorHAnsi" w:cstheme="minorBidi"/>
        <w:color w:val="000000" w:themeColor="text1"/>
        <w:lang w:val="fr-BE"/>
      </w:rPr>
      <w:t>dokumenta</w:t>
    </w:r>
    <w:proofErr w:type="spellEnd"/>
    <w:r w:rsidRPr="303CE17D">
      <w:rPr>
        <w:rFonts w:asciiTheme="minorHAnsi" w:hAnsiTheme="minorHAnsi" w:cstheme="minorBidi"/>
        <w:color w:val="000000" w:themeColor="text1"/>
        <w:lang w:val="fr-BE"/>
      </w:rPr>
      <w:t>:</w:t>
    </w:r>
    <w:r w:rsidRPr="303CE17D">
      <w:rPr>
        <w:rFonts w:asciiTheme="minorHAnsi" w:eastAsia="PMingLiU" w:hAnsiTheme="minorHAnsi" w:cstheme="minorBidi"/>
        <w:color w:val="1B6FB5"/>
        <w:lang w:val="fr-BE"/>
      </w:rPr>
      <w:t xml:space="preserve"> </w:t>
    </w:r>
    <w:r w:rsidRPr="303CE17D">
      <w:rPr>
        <w:rFonts w:asciiTheme="minorHAnsi" w:hAnsiTheme="minorHAnsi" w:cstheme="minorBidi"/>
        <w:color w:val="984806"/>
        <w:lang w:val="fr-BE"/>
      </w:rPr>
      <w:t>&lt;</w:t>
    </w:r>
    <w:proofErr w:type="spellStart"/>
    <w:r w:rsidRPr="303CE17D">
      <w:rPr>
        <w:rFonts w:asciiTheme="minorHAnsi" w:hAnsiTheme="minorHAnsi" w:cstheme="minorBidi"/>
        <w:color w:val="984806"/>
        <w:lang w:val="fr-BE"/>
      </w:rPr>
      <w:t>Verzija</w:t>
    </w:r>
    <w:proofErr w:type="spellEnd"/>
    <w:r w:rsidRPr="303CE17D">
      <w:rPr>
        <w:rFonts w:asciiTheme="minorHAnsi" w:hAnsiTheme="minorHAnsi" w:cstheme="minorBidi"/>
        <w:color w:val="984806"/>
        <w:lang w:val="fr-BE"/>
      </w:rPr>
      <w:t xml:space="preserve"> 1&gt;</w:t>
    </w:r>
  </w:p>
  <w:p w14:paraId="4ED3AAF9" w14:textId="77777777" w:rsidR="00746F6C" w:rsidRDefault="0074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49728" w14:textId="77777777" w:rsidR="00746F6C" w:rsidRDefault="007154DF">
    <w:pPr>
      <w:pStyle w:val="FooterLine"/>
      <w:tabs>
        <w:tab w:val="left" w:pos="4111"/>
        <w:tab w:val="left" w:pos="4253"/>
      </w:tabs>
      <w:rPr>
        <w:rFonts w:ascii="Calibri" w:hAnsi="Calibri"/>
        <w:lang w:val="fr-BE"/>
      </w:rPr>
    </w:pPr>
    <w:proofErr w:type="spellStart"/>
    <w:proofErr w:type="gramStart"/>
    <w:r>
      <w:rPr>
        <w:rFonts w:asciiTheme="minorHAnsi" w:hAnsiTheme="minorHAnsi" w:cstheme="minorHAnsi"/>
        <w:color w:val="000000" w:themeColor="text1"/>
        <w:szCs w:val="16"/>
        <w:lang w:val="fr-BE"/>
      </w:rPr>
      <w:t>Datum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>:</w:t>
    </w:r>
    <w:proofErr w:type="gram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r>
      <w:rPr>
        <w:rFonts w:asciiTheme="minorHAnsi" w:hAnsiTheme="minorHAnsi" w:cstheme="minorHAnsi"/>
        <w:color w:val="385623" w:themeColor="accent6" w:themeShade="80"/>
        <w:szCs w:val="16"/>
        <w:lang w:val="fr-BE"/>
      </w:rPr>
      <w:t>&lt;Date&gt;</w:t>
    </w:r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                                                                                        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PAGE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Style w:val="PageNumber"/>
        <w:rFonts w:ascii="Calibri" w:hAnsi="Calibri"/>
        <w:lang w:val="fr-BE"/>
      </w:rPr>
      <w:t xml:space="preserve"> /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NUMPAGES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Fonts w:asciiTheme="minorHAnsi" w:hAnsiTheme="minorHAnsi" w:cstheme="minorHAnsi"/>
        <w:color w:val="000000" w:themeColor="text1"/>
        <w:szCs w:val="16"/>
        <w:lang w:val="fr-BE"/>
      </w:rPr>
      <w:tab/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Verzija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dokumenta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>
      <w:rPr>
        <w:rFonts w:asciiTheme="minorHAnsi" w:hAnsiTheme="minorHAnsi" w:cstheme="minorHAnsi"/>
        <w:color w:val="984806"/>
        <w:szCs w:val="16"/>
        <w:lang w:val="fr-BE"/>
      </w:rPr>
      <w:t>&lt;Version&gt;</w:t>
    </w:r>
  </w:p>
  <w:p w14:paraId="4CA7BE76" w14:textId="77777777" w:rsidR="00746F6C" w:rsidRDefault="0074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1855" w14:textId="77777777" w:rsidR="007154DF" w:rsidRDefault="007154DF">
      <w:r>
        <w:separator/>
      </w:r>
    </w:p>
  </w:footnote>
  <w:footnote w:type="continuationSeparator" w:id="0">
    <w:p w14:paraId="418A4DB6" w14:textId="77777777" w:rsidR="007154DF" w:rsidRDefault="0071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3CE17D" w14:paraId="64CA2E08" w14:textId="77777777" w:rsidTr="303CE17D">
      <w:trPr>
        <w:trHeight w:val="300"/>
      </w:trPr>
      <w:tc>
        <w:tcPr>
          <w:tcW w:w="3020" w:type="dxa"/>
        </w:tcPr>
        <w:p w14:paraId="50003E37" w14:textId="2FB46237" w:rsidR="303CE17D" w:rsidRDefault="303CE17D" w:rsidP="303CE17D">
          <w:pPr>
            <w:pStyle w:val="Header"/>
            <w:ind w:left="-115"/>
          </w:pPr>
        </w:p>
      </w:tc>
      <w:tc>
        <w:tcPr>
          <w:tcW w:w="3020" w:type="dxa"/>
        </w:tcPr>
        <w:p w14:paraId="3BF25518" w14:textId="4B1C48DF" w:rsidR="303CE17D" w:rsidRDefault="303CE17D" w:rsidP="303CE17D">
          <w:pPr>
            <w:pStyle w:val="Header"/>
            <w:jc w:val="center"/>
          </w:pPr>
        </w:p>
      </w:tc>
      <w:tc>
        <w:tcPr>
          <w:tcW w:w="3020" w:type="dxa"/>
        </w:tcPr>
        <w:p w14:paraId="4DC903B8" w14:textId="485EB3BF" w:rsidR="303CE17D" w:rsidRDefault="303CE17D" w:rsidP="303CE17D">
          <w:pPr>
            <w:pStyle w:val="Header"/>
            <w:ind w:right="-115"/>
            <w:jc w:val="right"/>
          </w:pPr>
        </w:p>
      </w:tc>
    </w:tr>
  </w:tbl>
  <w:p w14:paraId="6EAD6733" w14:textId="2A25B5F7" w:rsidR="303CE17D" w:rsidRDefault="303CE17D" w:rsidP="303CE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8AFE"/>
    <w:multiLevelType w:val="hybridMultilevel"/>
    <w:tmpl w:val="D5363368"/>
    <w:lvl w:ilvl="0" w:tplc="98F80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EC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B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8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0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C787"/>
    <w:multiLevelType w:val="hybridMultilevel"/>
    <w:tmpl w:val="DF3456A0"/>
    <w:lvl w:ilvl="0" w:tplc="D4AED0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C28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5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8F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1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2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5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E3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FC3F"/>
    <w:multiLevelType w:val="multilevel"/>
    <w:tmpl w:val="FAF6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7306"/>
    <w:multiLevelType w:val="hybridMultilevel"/>
    <w:tmpl w:val="EEC0CF36"/>
    <w:lvl w:ilvl="0" w:tplc="D5B2BB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5C5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47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EB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3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41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4D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4E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D5291"/>
    <w:multiLevelType w:val="hybridMultilevel"/>
    <w:tmpl w:val="64429A08"/>
    <w:lvl w:ilvl="0" w:tplc="CAFE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0C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8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0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B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E1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E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A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0F6E"/>
    <w:multiLevelType w:val="hybridMultilevel"/>
    <w:tmpl w:val="E7449AFA"/>
    <w:lvl w:ilvl="0" w:tplc="F4560B90">
      <w:start w:val="1"/>
      <w:numFmt w:val="decimal"/>
      <w:lvlText w:val="%1."/>
      <w:lvlJc w:val="left"/>
      <w:pPr>
        <w:ind w:left="720" w:hanging="360"/>
      </w:pPr>
    </w:lvl>
    <w:lvl w:ilvl="1" w:tplc="CCFA151C">
      <w:start w:val="1"/>
      <w:numFmt w:val="lowerLetter"/>
      <w:lvlText w:val="%2."/>
      <w:lvlJc w:val="left"/>
      <w:pPr>
        <w:ind w:left="1440" w:hanging="360"/>
      </w:pPr>
    </w:lvl>
    <w:lvl w:ilvl="2" w:tplc="4A1A4088">
      <w:start w:val="1"/>
      <w:numFmt w:val="lowerRoman"/>
      <w:lvlText w:val="%3."/>
      <w:lvlJc w:val="right"/>
      <w:pPr>
        <w:ind w:left="2160" w:hanging="180"/>
      </w:pPr>
    </w:lvl>
    <w:lvl w:ilvl="3" w:tplc="01765D9A">
      <w:start w:val="1"/>
      <w:numFmt w:val="decimal"/>
      <w:lvlText w:val="%4."/>
      <w:lvlJc w:val="left"/>
      <w:pPr>
        <w:ind w:left="2880" w:hanging="360"/>
      </w:pPr>
    </w:lvl>
    <w:lvl w:ilvl="4" w:tplc="57D0172C">
      <w:start w:val="1"/>
      <w:numFmt w:val="lowerLetter"/>
      <w:lvlText w:val="%5."/>
      <w:lvlJc w:val="left"/>
      <w:pPr>
        <w:ind w:left="3600" w:hanging="360"/>
      </w:pPr>
    </w:lvl>
    <w:lvl w:ilvl="5" w:tplc="30D0EA8C">
      <w:start w:val="1"/>
      <w:numFmt w:val="lowerRoman"/>
      <w:lvlText w:val="%6."/>
      <w:lvlJc w:val="right"/>
      <w:pPr>
        <w:ind w:left="4320" w:hanging="180"/>
      </w:pPr>
    </w:lvl>
    <w:lvl w:ilvl="6" w:tplc="87D2FA4E">
      <w:start w:val="1"/>
      <w:numFmt w:val="decimal"/>
      <w:lvlText w:val="%7."/>
      <w:lvlJc w:val="left"/>
      <w:pPr>
        <w:ind w:left="5040" w:hanging="360"/>
      </w:pPr>
    </w:lvl>
    <w:lvl w:ilvl="7" w:tplc="3B30F36A">
      <w:start w:val="1"/>
      <w:numFmt w:val="lowerLetter"/>
      <w:lvlText w:val="%8."/>
      <w:lvlJc w:val="left"/>
      <w:pPr>
        <w:ind w:left="5760" w:hanging="360"/>
      </w:pPr>
    </w:lvl>
    <w:lvl w:ilvl="8" w:tplc="C5BA1C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B00B"/>
    <w:multiLevelType w:val="hybridMultilevel"/>
    <w:tmpl w:val="AE046CC6"/>
    <w:lvl w:ilvl="0" w:tplc="7A68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4C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09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66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C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40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E5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21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E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9916"/>
    <w:multiLevelType w:val="hybridMultilevel"/>
    <w:tmpl w:val="03E25E12"/>
    <w:lvl w:ilvl="0" w:tplc="4F8E5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C04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6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82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E5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E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C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E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C69BD"/>
    <w:multiLevelType w:val="hybridMultilevel"/>
    <w:tmpl w:val="8D5A205E"/>
    <w:lvl w:ilvl="0" w:tplc="96BC0E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61D830A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plc="B5EA587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AC1E8EF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27E259E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plc="7D024B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3278A08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3C3667B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plc="353211D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1382"/>
    <w:multiLevelType w:val="multilevel"/>
    <w:tmpl w:val="2BB29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9E87D2"/>
    <w:multiLevelType w:val="hybridMultilevel"/>
    <w:tmpl w:val="0C8CA8DE"/>
    <w:lvl w:ilvl="0" w:tplc="DD0C94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FA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27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8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C5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C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8B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F0942"/>
    <w:multiLevelType w:val="hybridMultilevel"/>
    <w:tmpl w:val="C79E705C"/>
    <w:lvl w:ilvl="0" w:tplc="04AC88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CED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01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88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8B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C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89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8105"/>
    <w:multiLevelType w:val="hybridMultilevel"/>
    <w:tmpl w:val="19FC29CC"/>
    <w:lvl w:ilvl="0" w:tplc="F0A0D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C6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2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AF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6C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7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5558"/>
    <w:multiLevelType w:val="multilevel"/>
    <w:tmpl w:val="8FA08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13436C9"/>
    <w:multiLevelType w:val="multilevel"/>
    <w:tmpl w:val="D23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46558230"/>
    <w:multiLevelType w:val="hybridMultilevel"/>
    <w:tmpl w:val="D41265A2"/>
    <w:lvl w:ilvl="0" w:tplc="8DA80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2E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0E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2B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E6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A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A1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6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4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EB5D"/>
    <w:multiLevelType w:val="hybridMultilevel"/>
    <w:tmpl w:val="B0568AE8"/>
    <w:lvl w:ilvl="0" w:tplc="822AE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4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E0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6E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A8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1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5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6A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31F0"/>
    <w:multiLevelType w:val="hybridMultilevel"/>
    <w:tmpl w:val="3BEC5CB8"/>
    <w:lvl w:ilvl="0" w:tplc="68C279C4">
      <w:start w:val="2"/>
      <w:numFmt w:val="decimal"/>
      <w:lvlText w:val="%1."/>
      <w:lvlJc w:val="left"/>
      <w:pPr>
        <w:ind w:left="720" w:hanging="360"/>
      </w:pPr>
    </w:lvl>
    <w:lvl w:ilvl="1" w:tplc="B614A600">
      <w:start w:val="1"/>
      <w:numFmt w:val="lowerLetter"/>
      <w:lvlText w:val="%2."/>
      <w:lvlJc w:val="left"/>
      <w:pPr>
        <w:ind w:left="1440" w:hanging="360"/>
      </w:pPr>
    </w:lvl>
    <w:lvl w:ilvl="2" w:tplc="C764DD10">
      <w:start w:val="1"/>
      <w:numFmt w:val="lowerRoman"/>
      <w:lvlText w:val="%3."/>
      <w:lvlJc w:val="right"/>
      <w:pPr>
        <w:ind w:left="2160" w:hanging="180"/>
      </w:pPr>
    </w:lvl>
    <w:lvl w:ilvl="3" w:tplc="3872CFA0">
      <w:start w:val="1"/>
      <w:numFmt w:val="decimal"/>
      <w:lvlText w:val="%4."/>
      <w:lvlJc w:val="left"/>
      <w:pPr>
        <w:ind w:left="2880" w:hanging="360"/>
      </w:pPr>
    </w:lvl>
    <w:lvl w:ilvl="4" w:tplc="E214B24C">
      <w:start w:val="1"/>
      <w:numFmt w:val="lowerLetter"/>
      <w:lvlText w:val="%5."/>
      <w:lvlJc w:val="left"/>
      <w:pPr>
        <w:ind w:left="3600" w:hanging="360"/>
      </w:pPr>
    </w:lvl>
    <w:lvl w:ilvl="5" w:tplc="B8CE35D8">
      <w:start w:val="1"/>
      <w:numFmt w:val="lowerRoman"/>
      <w:lvlText w:val="%6."/>
      <w:lvlJc w:val="right"/>
      <w:pPr>
        <w:ind w:left="4320" w:hanging="180"/>
      </w:pPr>
    </w:lvl>
    <w:lvl w:ilvl="6" w:tplc="FC4EC8FA">
      <w:start w:val="1"/>
      <w:numFmt w:val="decimal"/>
      <w:lvlText w:val="%7."/>
      <w:lvlJc w:val="left"/>
      <w:pPr>
        <w:ind w:left="5040" w:hanging="360"/>
      </w:pPr>
    </w:lvl>
    <w:lvl w:ilvl="7" w:tplc="D5E65A5E">
      <w:start w:val="1"/>
      <w:numFmt w:val="lowerLetter"/>
      <w:lvlText w:val="%8."/>
      <w:lvlJc w:val="left"/>
      <w:pPr>
        <w:ind w:left="5760" w:hanging="360"/>
      </w:pPr>
    </w:lvl>
    <w:lvl w:ilvl="8" w:tplc="210073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082C7"/>
    <w:multiLevelType w:val="hybridMultilevel"/>
    <w:tmpl w:val="531CC7EE"/>
    <w:lvl w:ilvl="0" w:tplc="97A4DF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26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F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C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67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6E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4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A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E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70C9F"/>
    <w:multiLevelType w:val="hybridMultilevel"/>
    <w:tmpl w:val="614E72D8"/>
    <w:lvl w:ilvl="0" w:tplc="2F62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E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C1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1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E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66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B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47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4C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C96D"/>
    <w:multiLevelType w:val="hybridMultilevel"/>
    <w:tmpl w:val="5D40F45E"/>
    <w:lvl w:ilvl="0" w:tplc="6B54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8E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A5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EA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46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7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C7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EE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C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A1D62"/>
    <w:multiLevelType w:val="hybridMultilevel"/>
    <w:tmpl w:val="1C1CC528"/>
    <w:lvl w:ilvl="0" w:tplc="3A24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2A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CC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41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C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7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0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47FC4"/>
    <w:multiLevelType w:val="hybridMultilevel"/>
    <w:tmpl w:val="917A71B6"/>
    <w:lvl w:ilvl="0" w:tplc="BA60891E">
      <w:start w:val="1"/>
      <w:numFmt w:val="decimal"/>
      <w:lvlText w:val="%1."/>
      <w:lvlJc w:val="left"/>
      <w:pPr>
        <w:ind w:left="720" w:hanging="360"/>
      </w:pPr>
    </w:lvl>
    <w:lvl w:ilvl="1" w:tplc="AC70ECAC">
      <w:start w:val="1"/>
      <w:numFmt w:val="lowerLetter"/>
      <w:lvlText w:val="%2."/>
      <w:lvlJc w:val="left"/>
      <w:pPr>
        <w:ind w:left="1440" w:hanging="360"/>
      </w:pPr>
    </w:lvl>
    <w:lvl w:ilvl="2" w:tplc="4A5C07DE">
      <w:start w:val="1"/>
      <w:numFmt w:val="lowerRoman"/>
      <w:lvlText w:val="%3."/>
      <w:lvlJc w:val="right"/>
      <w:pPr>
        <w:ind w:left="2160" w:hanging="180"/>
      </w:pPr>
    </w:lvl>
    <w:lvl w:ilvl="3" w:tplc="54B40BD8">
      <w:start w:val="1"/>
      <w:numFmt w:val="decimal"/>
      <w:lvlText w:val="%4."/>
      <w:lvlJc w:val="left"/>
      <w:pPr>
        <w:ind w:left="2880" w:hanging="360"/>
      </w:pPr>
    </w:lvl>
    <w:lvl w:ilvl="4" w:tplc="D422A918">
      <w:start w:val="1"/>
      <w:numFmt w:val="lowerLetter"/>
      <w:lvlText w:val="%5."/>
      <w:lvlJc w:val="left"/>
      <w:pPr>
        <w:ind w:left="3600" w:hanging="360"/>
      </w:pPr>
    </w:lvl>
    <w:lvl w:ilvl="5" w:tplc="79E6DC0E">
      <w:start w:val="1"/>
      <w:numFmt w:val="lowerRoman"/>
      <w:lvlText w:val="%6."/>
      <w:lvlJc w:val="right"/>
      <w:pPr>
        <w:ind w:left="4320" w:hanging="180"/>
      </w:pPr>
    </w:lvl>
    <w:lvl w:ilvl="6" w:tplc="C2DC1534">
      <w:start w:val="1"/>
      <w:numFmt w:val="decimal"/>
      <w:lvlText w:val="%7."/>
      <w:lvlJc w:val="left"/>
      <w:pPr>
        <w:ind w:left="5040" w:hanging="360"/>
      </w:pPr>
    </w:lvl>
    <w:lvl w:ilvl="7" w:tplc="E6CE2B82">
      <w:start w:val="1"/>
      <w:numFmt w:val="lowerLetter"/>
      <w:lvlText w:val="%8."/>
      <w:lvlJc w:val="left"/>
      <w:pPr>
        <w:ind w:left="5760" w:hanging="360"/>
      </w:pPr>
    </w:lvl>
    <w:lvl w:ilvl="8" w:tplc="A4A004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8A28"/>
    <w:multiLevelType w:val="hybridMultilevel"/>
    <w:tmpl w:val="F6D6F7A2"/>
    <w:lvl w:ilvl="0" w:tplc="A6AC9B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287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2B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8C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1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06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E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4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29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F34B1"/>
    <w:multiLevelType w:val="hybridMultilevel"/>
    <w:tmpl w:val="A9A0E5CA"/>
    <w:lvl w:ilvl="0" w:tplc="2BACD808">
      <w:start w:val="1"/>
      <w:numFmt w:val="decimal"/>
      <w:lvlText w:val="%1."/>
      <w:lvlJc w:val="left"/>
      <w:pPr>
        <w:ind w:left="720" w:hanging="360"/>
      </w:pPr>
    </w:lvl>
    <w:lvl w:ilvl="1" w:tplc="3B24351A">
      <w:start w:val="1"/>
      <w:numFmt w:val="lowerLetter"/>
      <w:lvlText w:val="%2."/>
      <w:lvlJc w:val="left"/>
      <w:pPr>
        <w:ind w:left="1440" w:hanging="360"/>
      </w:pPr>
    </w:lvl>
    <w:lvl w:ilvl="2" w:tplc="803602D4">
      <w:start w:val="1"/>
      <w:numFmt w:val="lowerRoman"/>
      <w:lvlText w:val="%3."/>
      <w:lvlJc w:val="right"/>
      <w:pPr>
        <w:ind w:left="2160" w:hanging="180"/>
      </w:pPr>
    </w:lvl>
    <w:lvl w:ilvl="3" w:tplc="D1D8C6A4">
      <w:start w:val="1"/>
      <w:numFmt w:val="decimal"/>
      <w:lvlText w:val="%4."/>
      <w:lvlJc w:val="left"/>
      <w:pPr>
        <w:ind w:left="2880" w:hanging="360"/>
      </w:pPr>
    </w:lvl>
    <w:lvl w:ilvl="4" w:tplc="26DC2C82">
      <w:start w:val="1"/>
      <w:numFmt w:val="lowerLetter"/>
      <w:lvlText w:val="%5."/>
      <w:lvlJc w:val="left"/>
      <w:pPr>
        <w:ind w:left="3600" w:hanging="360"/>
      </w:pPr>
    </w:lvl>
    <w:lvl w:ilvl="5" w:tplc="CAB06EFA">
      <w:start w:val="1"/>
      <w:numFmt w:val="lowerRoman"/>
      <w:lvlText w:val="%6."/>
      <w:lvlJc w:val="right"/>
      <w:pPr>
        <w:ind w:left="4320" w:hanging="180"/>
      </w:pPr>
    </w:lvl>
    <w:lvl w:ilvl="6" w:tplc="E7B81E62">
      <w:start w:val="1"/>
      <w:numFmt w:val="decimal"/>
      <w:lvlText w:val="%7."/>
      <w:lvlJc w:val="left"/>
      <w:pPr>
        <w:ind w:left="5040" w:hanging="360"/>
      </w:pPr>
    </w:lvl>
    <w:lvl w:ilvl="7" w:tplc="206055A0">
      <w:start w:val="1"/>
      <w:numFmt w:val="lowerLetter"/>
      <w:lvlText w:val="%8."/>
      <w:lvlJc w:val="left"/>
      <w:pPr>
        <w:ind w:left="5760" w:hanging="360"/>
      </w:pPr>
    </w:lvl>
    <w:lvl w:ilvl="8" w:tplc="6800292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6CBBF"/>
    <w:multiLevelType w:val="hybridMultilevel"/>
    <w:tmpl w:val="D62E4CE8"/>
    <w:lvl w:ilvl="0" w:tplc="E5928E6A">
      <w:start w:val="1"/>
      <w:numFmt w:val="decimal"/>
      <w:lvlText w:val="%1."/>
      <w:lvlJc w:val="left"/>
      <w:pPr>
        <w:ind w:left="1080" w:hanging="360"/>
      </w:pPr>
    </w:lvl>
    <w:lvl w:ilvl="1" w:tplc="EF504F6C">
      <w:start w:val="1"/>
      <w:numFmt w:val="lowerLetter"/>
      <w:lvlText w:val="%2."/>
      <w:lvlJc w:val="left"/>
      <w:pPr>
        <w:ind w:left="1800" w:hanging="360"/>
      </w:pPr>
    </w:lvl>
    <w:lvl w:ilvl="2" w:tplc="79E27386">
      <w:start w:val="1"/>
      <w:numFmt w:val="lowerRoman"/>
      <w:lvlText w:val="%3."/>
      <w:lvlJc w:val="right"/>
      <w:pPr>
        <w:ind w:left="2520" w:hanging="180"/>
      </w:pPr>
    </w:lvl>
    <w:lvl w:ilvl="3" w:tplc="5A2A8316">
      <w:start w:val="1"/>
      <w:numFmt w:val="decimal"/>
      <w:lvlText w:val="%4."/>
      <w:lvlJc w:val="left"/>
      <w:pPr>
        <w:ind w:left="3240" w:hanging="360"/>
      </w:pPr>
    </w:lvl>
    <w:lvl w:ilvl="4" w:tplc="508A1766">
      <w:start w:val="1"/>
      <w:numFmt w:val="lowerLetter"/>
      <w:lvlText w:val="%5."/>
      <w:lvlJc w:val="left"/>
      <w:pPr>
        <w:ind w:left="3960" w:hanging="360"/>
      </w:pPr>
    </w:lvl>
    <w:lvl w:ilvl="5" w:tplc="FB5E0440">
      <w:start w:val="1"/>
      <w:numFmt w:val="lowerRoman"/>
      <w:lvlText w:val="%6."/>
      <w:lvlJc w:val="right"/>
      <w:pPr>
        <w:ind w:left="4680" w:hanging="180"/>
      </w:pPr>
    </w:lvl>
    <w:lvl w:ilvl="6" w:tplc="4718D78E">
      <w:start w:val="1"/>
      <w:numFmt w:val="decimal"/>
      <w:lvlText w:val="%7."/>
      <w:lvlJc w:val="left"/>
      <w:pPr>
        <w:ind w:left="5400" w:hanging="360"/>
      </w:pPr>
    </w:lvl>
    <w:lvl w:ilvl="7" w:tplc="EE6AE1C8">
      <w:start w:val="1"/>
      <w:numFmt w:val="lowerLetter"/>
      <w:lvlText w:val="%8."/>
      <w:lvlJc w:val="left"/>
      <w:pPr>
        <w:ind w:left="6120" w:hanging="360"/>
      </w:pPr>
    </w:lvl>
    <w:lvl w:ilvl="8" w:tplc="4D341E6C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449627"/>
    <w:multiLevelType w:val="hybridMultilevel"/>
    <w:tmpl w:val="E572F44C"/>
    <w:lvl w:ilvl="0" w:tplc="BFD84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C9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E2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C6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4F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B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4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F9F50"/>
    <w:multiLevelType w:val="hybridMultilevel"/>
    <w:tmpl w:val="F90AAC34"/>
    <w:lvl w:ilvl="0" w:tplc="DB6EA4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2E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A9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4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C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8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69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6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77989">
    <w:abstractNumId w:val="18"/>
  </w:num>
  <w:num w:numId="2" w16cid:durableId="230117639">
    <w:abstractNumId w:val="27"/>
  </w:num>
  <w:num w:numId="3" w16cid:durableId="380398599">
    <w:abstractNumId w:val="3"/>
  </w:num>
  <w:num w:numId="4" w16cid:durableId="291598443">
    <w:abstractNumId w:val="11"/>
  </w:num>
  <w:num w:numId="5" w16cid:durableId="1896355767">
    <w:abstractNumId w:val="7"/>
  </w:num>
  <w:num w:numId="6" w16cid:durableId="1539859523">
    <w:abstractNumId w:val="1"/>
  </w:num>
  <w:num w:numId="7" w16cid:durableId="1715693722">
    <w:abstractNumId w:val="23"/>
  </w:num>
  <w:num w:numId="8" w16cid:durableId="967903647">
    <w:abstractNumId w:val="10"/>
  </w:num>
  <w:num w:numId="9" w16cid:durableId="320424084">
    <w:abstractNumId w:val="6"/>
  </w:num>
  <w:num w:numId="10" w16cid:durableId="1928878096">
    <w:abstractNumId w:val="22"/>
  </w:num>
  <w:num w:numId="11" w16cid:durableId="1018503922">
    <w:abstractNumId w:val="5"/>
  </w:num>
  <w:num w:numId="12" w16cid:durableId="1007442763">
    <w:abstractNumId w:val="24"/>
  </w:num>
  <w:num w:numId="13" w16cid:durableId="1917544518">
    <w:abstractNumId w:val="25"/>
  </w:num>
  <w:num w:numId="14" w16cid:durableId="532695865">
    <w:abstractNumId w:val="17"/>
  </w:num>
  <w:num w:numId="15" w16cid:durableId="1069232723">
    <w:abstractNumId w:val="2"/>
  </w:num>
  <w:num w:numId="16" w16cid:durableId="821309059">
    <w:abstractNumId w:val="0"/>
  </w:num>
  <w:num w:numId="17" w16cid:durableId="547112667">
    <w:abstractNumId w:val="19"/>
  </w:num>
  <w:num w:numId="18" w16cid:durableId="325940114">
    <w:abstractNumId w:val="26"/>
  </w:num>
  <w:num w:numId="19" w16cid:durableId="1843662669">
    <w:abstractNumId w:val="15"/>
  </w:num>
  <w:num w:numId="20" w16cid:durableId="1330333241">
    <w:abstractNumId w:val="4"/>
  </w:num>
  <w:num w:numId="21" w16cid:durableId="1407655458">
    <w:abstractNumId w:val="20"/>
  </w:num>
  <w:num w:numId="22" w16cid:durableId="404955013">
    <w:abstractNumId w:val="21"/>
  </w:num>
  <w:num w:numId="23" w16cid:durableId="122239548">
    <w:abstractNumId w:val="16"/>
  </w:num>
  <w:num w:numId="24" w16cid:durableId="2020160269">
    <w:abstractNumId w:val="12"/>
  </w:num>
  <w:num w:numId="25" w16cid:durableId="305857429">
    <w:abstractNumId w:val="14"/>
  </w:num>
  <w:num w:numId="26" w16cid:durableId="76247444">
    <w:abstractNumId w:val="8"/>
  </w:num>
  <w:num w:numId="27" w16cid:durableId="474179712">
    <w:abstractNumId w:val="9"/>
  </w:num>
  <w:num w:numId="28" w16cid:durableId="1332834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6C"/>
    <w:rsid w:val="003E18F9"/>
    <w:rsid w:val="007154DF"/>
    <w:rsid w:val="00746F6C"/>
    <w:rsid w:val="007E278F"/>
    <w:rsid w:val="008A3BD2"/>
    <w:rsid w:val="00FA1877"/>
    <w:rsid w:val="0119F653"/>
    <w:rsid w:val="0208E93A"/>
    <w:rsid w:val="0268E881"/>
    <w:rsid w:val="044F2D59"/>
    <w:rsid w:val="04DB181E"/>
    <w:rsid w:val="04EABEA6"/>
    <w:rsid w:val="06F2324E"/>
    <w:rsid w:val="0867883E"/>
    <w:rsid w:val="0A55489E"/>
    <w:rsid w:val="0B4CDEBA"/>
    <w:rsid w:val="0C467CFF"/>
    <w:rsid w:val="0D5EBE99"/>
    <w:rsid w:val="0D7CD53C"/>
    <w:rsid w:val="0E45F451"/>
    <w:rsid w:val="0EBE01E1"/>
    <w:rsid w:val="0F338587"/>
    <w:rsid w:val="0F6B27A2"/>
    <w:rsid w:val="10469D43"/>
    <w:rsid w:val="1111C91A"/>
    <w:rsid w:val="12C5DEA0"/>
    <w:rsid w:val="12CBA66D"/>
    <w:rsid w:val="13448418"/>
    <w:rsid w:val="14746C36"/>
    <w:rsid w:val="162EE2F3"/>
    <w:rsid w:val="1650FCFD"/>
    <w:rsid w:val="16BAD763"/>
    <w:rsid w:val="17582E0C"/>
    <w:rsid w:val="18ADC071"/>
    <w:rsid w:val="19535096"/>
    <w:rsid w:val="1A2D8AE7"/>
    <w:rsid w:val="1AA643AD"/>
    <w:rsid w:val="1B362D2F"/>
    <w:rsid w:val="1C332AD8"/>
    <w:rsid w:val="1CD10BAD"/>
    <w:rsid w:val="1DC59B84"/>
    <w:rsid w:val="1F2B70BA"/>
    <w:rsid w:val="1F6ED50C"/>
    <w:rsid w:val="20ABBD47"/>
    <w:rsid w:val="20F2F281"/>
    <w:rsid w:val="21086DA9"/>
    <w:rsid w:val="21BE9B16"/>
    <w:rsid w:val="24A793B3"/>
    <w:rsid w:val="257C3BF5"/>
    <w:rsid w:val="27E761DC"/>
    <w:rsid w:val="2901F070"/>
    <w:rsid w:val="2A2B1A96"/>
    <w:rsid w:val="2A7DDD17"/>
    <w:rsid w:val="2ACEEBED"/>
    <w:rsid w:val="2B0FC693"/>
    <w:rsid w:val="2D3C6F0A"/>
    <w:rsid w:val="2D404D90"/>
    <w:rsid w:val="2DDC6217"/>
    <w:rsid w:val="2E9810AD"/>
    <w:rsid w:val="2EB71AF6"/>
    <w:rsid w:val="303CE17D"/>
    <w:rsid w:val="3301B421"/>
    <w:rsid w:val="35707F03"/>
    <w:rsid w:val="3736462F"/>
    <w:rsid w:val="3953866C"/>
    <w:rsid w:val="3B5A1456"/>
    <w:rsid w:val="3C30DCD0"/>
    <w:rsid w:val="3C806C2E"/>
    <w:rsid w:val="3D9B16F1"/>
    <w:rsid w:val="3E092001"/>
    <w:rsid w:val="3E79476B"/>
    <w:rsid w:val="3FB6A34B"/>
    <w:rsid w:val="417ABC55"/>
    <w:rsid w:val="41C51EB3"/>
    <w:rsid w:val="43593BBA"/>
    <w:rsid w:val="43B288E5"/>
    <w:rsid w:val="452AD20E"/>
    <w:rsid w:val="45A71D42"/>
    <w:rsid w:val="4650DD66"/>
    <w:rsid w:val="47B3491B"/>
    <w:rsid w:val="489938EC"/>
    <w:rsid w:val="4923F683"/>
    <w:rsid w:val="4AB28DF6"/>
    <w:rsid w:val="4B0D3897"/>
    <w:rsid w:val="4C54B64E"/>
    <w:rsid w:val="4E66161F"/>
    <w:rsid w:val="4EB2546D"/>
    <w:rsid w:val="5009F191"/>
    <w:rsid w:val="50F0A093"/>
    <w:rsid w:val="51724BD2"/>
    <w:rsid w:val="525C973F"/>
    <w:rsid w:val="5771D3D7"/>
    <w:rsid w:val="598D3103"/>
    <w:rsid w:val="5D689063"/>
    <w:rsid w:val="5F9BB84B"/>
    <w:rsid w:val="6137495B"/>
    <w:rsid w:val="6276522D"/>
    <w:rsid w:val="6324AA10"/>
    <w:rsid w:val="64D5EF59"/>
    <w:rsid w:val="65A4FF6A"/>
    <w:rsid w:val="66F56B53"/>
    <w:rsid w:val="672BCD6F"/>
    <w:rsid w:val="67713338"/>
    <w:rsid w:val="67D4651D"/>
    <w:rsid w:val="69FD19AC"/>
    <w:rsid w:val="6A35EFB9"/>
    <w:rsid w:val="6BB51A9D"/>
    <w:rsid w:val="6BC7B859"/>
    <w:rsid w:val="7021CD7B"/>
    <w:rsid w:val="70B65C56"/>
    <w:rsid w:val="72DB82F7"/>
    <w:rsid w:val="732D549D"/>
    <w:rsid w:val="77650879"/>
    <w:rsid w:val="77C7B6BC"/>
    <w:rsid w:val="7897AD9D"/>
    <w:rsid w:val="796B1032"/>
    <w:rsid w:val="7A0BFE9F"/>
    <w:rsid w:val="7B04AF88"/>
    <w:rsid w:val="7CB81BD8"/>
    <w:rsid w:val="7E77E945"/>
    <w:rsid w:val="7EC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CB13"/>
  <w15:docId w15:val="{763CEBA5-DA26-F343-A63D-AA930C0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7E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67E3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67E3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C6321"/>
  </w:style>
  <w:style w:type="character" w:customStyle="1" w:styleId="FooterChar">
    <w:name w:val="Footer Char"/>
    <w:basedOn w:val="DefaultParagraphFont"/>
    <w:link w:val="Footer"/>
    <w:uiPriority w:val="99"/>
    <w:qFormat/>
    <w:rsid w:val="007C6321"/>
  </w:style>
  <w:style w:type="character" w:styleId="PageNumber">
    <w:name w:val="page number"/>
    <w:basedOn w:val="DefaultParagraphFont"/>
    <w:rsid w:val="007C6321"/>
  </w:style>
  <w:style w:type="character" w:customStyle="1" w:styleId="Heading1Char">
    <w:name w:val="Heading 1 Char"/>
    <w:basedOn w:val="DefaultParagraphFont"/>
    <w:link w:val="Heading1"/>
    <w:uiPriority w:val="9"/>
    <w:qFormat/>
    <w:rsid w:val="004567E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567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567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ranslate">
    <w:name w:val="notranslate"/>
    <w:basedOn w:val="DefaultParagraphFont"/>
    <w:qFormat/>
    <w:rsid w:val="004567E3"/>
  </w:style>
  <w:style w:type="character" w:styleId="Hyperlink">
    <w:name w:val="Hyperlink"/>
    <w:basedOn w:val="DefaultParagraphFont"/>
    <w:uiPriority w:val="99"/>
    <w:semiHidden/>
    <w:unhideWhenUsed/>
    <w:rsid w:val="00456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7E3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C632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7C6321"/>
    <w:pPr>
      <w:tabs>
        <w:tab w:val="center" w:pos="4703"/>
        <w:tab w:val="right" w:pos="9406"/>
      </w:tabs>
    </w:pPr>
  </w:style>
  <w:style w:type="paragraph" w:customStyle="1" w:styleId="FooterLine">
    <w:name w:val="FooterLine"/>
    <w:basedOn w:val="Footer"/>
    <w:next w:val="Footer"/>
    <w:qFormat/>
    <w:rsid w:val="007C6321"/>
    <w:pPr>
      <w:pBdr>
        <w:top w:val="single" w:sz="4" w:space="1" w:color="000000"/>
      </w:pBdr>
      <w:tabs>
        <w:tab w:val="clear" w:pos="4703"/>
        <w:tab w:val="clear" w:pos="9406"/>
        <w:tab w:val="right" w:pos="8647"/>
      </w:tabs>
      <w:spacing w:before="120"/>
    </w:pPr>
    <w:rPr>
      <w:rFonts w:ascii="Arial" w:eastAsia="Times New Roman" w:hAnsi="Arial" w:cs="Times New Roman"/>
      <w:sz w:val="16"/>
      <w:szCs w:val="20"/>
      <w:lang w:val="fi-FI"/>
    </w:rPr>
  </w:style>
  <w:style w:type="paragraph" w:customStyle="1" w:styleId="msonormal0">
    <w:name w:val="msonormal"/>
    <w:basedOn w:val="Normal"/>
    <w:qFormat/>
    <w:rsid w:val="004567E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4567E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A6C1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translate?hl=en&amp;prev=_t&amp;sl=en&amp;tl=hr&amp;u=http://europa.eu/!QD73M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en&amp;prev=_t&amp;sl=en&amp;tl=hr&amp;u=https://webgate.ec.europa.eu/fpfis/wikis/x/wb1zC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96938A724B745BAE8C33EF9EB4157" ma:contentTypeVersion="4" ma:contentTypeDescription="Stvaranje novog dokumenta." ma:contentTypeScope="" ma:versionID="02dee6cdc262aa78afc1e25cc5e74457">
  <xsd:schema xmlns:xsd="http://www.w3.org/2001/XMLSchema" xmlns:xs="http://www.w3.org/2001/XMLSchema" xmlns:p="http://schemas.microsoft.com/office/2006/metadata/properties" xmlns:ns2="d0b454d9-d2e5-41e7-be02-88fcb49e646b" targetNamespace="http://schemas.microsoft.com/office/2006/metadata/properties" ma:root="true" ma:fieldsID="992b86aeed30d4159c151b3060f6a1ca" ns2:_="">
    <xsd:import namespace="d0b454d9-d2e5-41e7-be02-88fcb49e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454d9-d2e5-41e7-be02-88fcb49e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92C41-1151-4FF9-817A-93E62604BFAB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d0b454d9-d2e5-41e7-be02-88fcb49e64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0A2340-C5CF-41D7-8178-062F77259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454d9-d2e5-41e7-be02-88fcb49e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EAD1C-0223-48CD-8BFE-29EFE6B2F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Rastovski</dc:creator>
  <dc:description/>
  <cp:lastModifiedBy>Andrej Kolega | Student</cp:lastModifiedBy>
  <cp:revision>2</cp:revision>
  <dcterms:created xsi:type="dcterms:W3CDTF">2025-03-26T14:41:00Z</dcterms:created>
  <dcterms:modified xsi:type="dcterms:W3CDTF">2025-03-26T14:41:00Z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0x010100BD096938A724B745BAE8C33EF9EB4157</vt:lpwstr>
  </property>
</Properties>
</file>